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5CF6" w14:textId="77777777" w:rsidR="00F42040" w:rsidRDefault="00152777" w:rsidP="00F42040">
      <w:pPr>
        <w:spacing w:after="0" w:line="240" w:lineRule="auto"/>
        <w:jc w:val="center"/>
        <w:rPr>
          <w:rFonts w:ascii="Times New Roman" w:hAnsi="Times New Roman" w:cs="Times New Roman"/>
          <w:b/>
          <w:bCs/>
          <w:sz w:val="28"/>
          <w:szCs w:val="28"/>
        </w:rPr>
      </w:pPr>
      <w:r w:rsidRPr="00975343">
        <w:rPr>
          <w:rFonts w:ascii="Times New Roman" w:hAnsi="Times New Roman" w:cs="Times New Roman"/>
          <w:b/>
          <w:bCs/>
          <w:sz w:val="28"/>
          <w:szCs w:val="28"/>
        </w:rPr>
        <w:t>TIÊU CHẢY CẤP</w:t>
      </w:r>
    </w:p>
    <w:p w14:paraId="1B65A5D8" w14:textId="706A418D" w:rsidR="00152777" w:rsidRPr="003A4731" w:rsidRDefault="00F42040" w:rsidP="003A4731">
      <w:pPr>
        <w:spacing w:after="0" w:line="240" w:lineRule="auto"/>
        <w:jc w:val="right"/>
        <w:rPr>
          <w:rFonts w:ascii="Times New Roman" w:hAnsi="Times New Roman" w:cs="Times New Roman"/>
          <w:b/>
          <w:bCs/>
          <w:sz w:val="28"/>
          <w:szCs w:val="28"/>
        </w:rPr>
      </w:pPr>
      <w:r w:rsidRPr="008001C6">
        <w:rPr>
          <w:rFonts w:ascii="Times New Roman" w:hAnsi="Times New Roman" w:cs="Times New Roman"/>
          <w:b/>
          <w:sz w:val="28"/>
          <w:szCs w:val="28"/>
        </w:rPr>
        <w:t>Người dịch: BS Thành Anh Hoàng.</w:t>
      </w:r>
    </w:p>
    <w:p w14:paraId="259821BE" w14:textId="77777777" w:rsidR="00152777" w:rsidRPr="00975343" w:rsidRDefault="00152777" w:rsidP="00152777">
      <w:pPr>
        <w:spacing w:after="0" w:line="240" w:lineRule="auto"/>
        <w:rPr>
          <w:rFonts w:ascii="Times New Roman" w:hAnsi="Times New Roman" w:cs="Times New Roman"/>
          <w:sz w:val="28"/>
          <w:szCs w:val="28"/>
        </w:rPr>
      </w:pPr>
    </w:p>
    <w:p w14:paraId="79DCDCE7" w14:textId="5543FB28" w:rsidR="00D857CD" w:rsidRDefault="000D3FE9" w:rsidP="00D857CD">
      <w:pPr>
        <w:spacing w:after="0" w:line="240" w:lineRule="auto"/>
        <w:rPr>
          <w:rFonts w:ascii="Times New Roman" w:hAnsi="Times New Roman" w:cs="Times New Roman"/>
          <w:sz w:val="28"/>
          <w:szCs w:val="28"/>
        </w:rPr>
      </w:pPr>
      <w:r>
        <w:rPr>
          <w:rFonts w:ascii="Times New Roman" w:hAnsi="Times New Roman" w:cs="Times New Roman"/>
          <w:sz w:val="28"/>
          <w:szCs w:val="28"/>
        </w:rPr>
        <w:t>Tiêu chảy cấp được định nghĩa có ≥ 3 lần tiêu phân lỏng / ngày, và kéo dài &lt; 2 tuần.</w:t>
      </w:r>
    </w:p>
    <w:p w14:paraId="3E473ED4" w14:textId="12924EB8" w:rsidR="00D857CD" w:rsidRDefault="00D857CD" w:rsidP="00574727">
      <w:pPr>
        <w:pStyle w:val="ListParagraph"/>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Tiêu chảy cấp gồm hai </w:t>
      </w:r>
      <w:r w:rsidR="00EE7EEC">
        <w:rPr>
          <w:rFonts w:ascii="Times New Roman" w:hAnsi="Times New Roman" w:cs="Times New Roman"/>
          <w:sz w:val="28"/>
          <w:szCs w:val="28"/>
        </w:rPr>
        <w:t>thể</w:t>
      </w:r>
      <w:r>
        <w:rPr>
          <w:rFonts w:ascii="Times New Roman" w:hAnsi="Times New Roman" w:cs="Times New Roman"/>
          <w:sz w:val="28"/>
          <w:szCs w:val="28"/>
        </w:rPr>
        <w:t xml:space="preserve"> lâm sàng:</w:t>
      </w:r>
    </w:p>
    <w:p w14:paraId="0B8DDE67" w14:textId="4A73BDFD" w:rsidR="00D857CD" w:rsidRDefault="00D857CD" w:rsidP="00574727">
      <w:pPr>
        <w:pStyle w:val="ListParagraph"/>
        <w:numPr>
          <w:ilvl w:val="1"/>
          <w:numId w:val="17"/>
        </w:numPr>
        <w:spacing w:after="0" w:line="240" w:lineRule="auto"/>
        <w:ind w:left="810" w:hanging="450"/>
        <w:rPr>
          <w:rFonts w:ascii="Times New Roman" w:hAnsi="Times New Roman" w:cs="Times New Roman"/>
          <w:sz w:val="28"/>
          <w:szCs w:val="28"/>
        </w:rPr>
      </w:pPr>
      <w:r w:rsidRPr="00EE7EEC">
        <w:rPr>
          <w:rFonts w:ascii="Times New Roman" w:hAnsi="Times New Roman" w:cs="Times New Roman"/>
          <w:b/>
          <w:bCs/>
          <w:sz w:val="28"/>
          <w:szCs w:val="28"/>
        </w:rPr>
        <w:t xml:space="preserve">Tiêu </w:t>
      </w:r>
      <w:r w:rsidR="00137996" w:rsidRPr="00EE7EEC">
        <w:rPr>
          <w:rFonts w:ascii="Times New Roman" w:hAnsi="Times New Roman" w:cs="Times New Roman"/>
          <w:b/>
          <w:bCs/>
          <w:sz w:val="28"/>
          <w:szCs w:val="28"/>
        </w:rPr>
        <w:t>phân</w:t>
      </w:r>
      <w:r w:rsidRPr="00EE7EEC">
        <w:rPr>
          <w:rFonts w:ascii="Times New Roman" w:hAnsi="Times New Roman" w:cs="Times New Roman"/>
          <w:b/>
          <w:bCs/>
          <w:sz w:val="28"/>
          <w:szCs w:val="28"/>
        </w:rPr>
        <w:t xml:space="preserve"> không máu</w:t>
      </w:r>
      <w:r w:rsidR="00927A1E">
        <w:rPr>
          <w:rFonts w:ascii="Times New Roman" w:hAnsi="Times New Roman" w:cs="Times New Roman"/>
          <w:sz w:val="28"/>
          <w:szCs w:val="28"/>
        </w:rPr>
        <w:t>: gây ra bởi virus trong 60% trường hợp (rotavirus, ent</w:t>
      </w:r>
      <w:r w:rsidR="004C75FD">
        <w:rPr>
          <w:rFonts w:ascii="Times New Roman" w:hAnsi="Times New Roman" w:cs="Times New Roman"/>
          <w:sz w:val="28"/>
          <w:szCs w:val="28"/>
        </w:rPr>
        <w:t>ero</w:t>
      </w:r>
      <w:r w:rsidR="00927A1E">
        <w:rPr>
          <w:rFonts w:ascii="Times New Roman" w:hAnsi="Times New Roman" w:cs="Times New Roman"/>
          <w:sz w:val="28"/>
          <w:szCs w:val="28"/>
        </w:rPr>
        <w:t>virus), vi khuẩn (Vibrio cholerae, Escherichia coli, non Typhy Salmonella, Yersinia Enterocolitica) hoặc k</w:t>
      </w:r>
      <w:r w:rsidR="00ED23FF">
        <w:rPr>
          <w:rFonts w:ascii="Times New Roman" w:hAnsi="Times New Roman" w:cs="Times New Roman"/>
          <w:sz w:val="28"/>
          <w:szCs w:val="28"/>
        </w:rPr>
        <w:t>ý</w:t>
      </w:r>
      <w:r w:rsidR="00927A1E">
        <w:rPr>
          <w:rFonts w:ascii="Times New Roman" w:hAnsi="Times New Roman" w:cs="Times New Roman"/>
          <w:sz w:val="28"/>
          <w:szCs w:val="28"/>
        </w:rPr>
        <w:t xml:space="preserve"> sinh trùng (giardiasis).</w:t>
      </w:r>
    </w:p>
    <w:p w14:paraId="269A3CEF" w14:textId="19D79F7C" w:rsidR="00935442" w:rsidRDefault="00137996" w:rsidP="00574727">
      <w:pPr>
        <w:pStyle w:val="ListParagraph"/>
        <w:numPr>
          <w:ilvl w:val="1"/>
          <w:numId w:val="17"/>
        </w:numPr>
        <w:spacing w:after="0" w:line="240" w:lineRule="auto"/>
        <w:ind w:left="810" w:hanging="450"/>
        <w:rPr>
          <w:rFonts w:ascii="Times New Roman" w:hAnsi="Times New Roman" w:cs="Times New Roman"/>
          <w:sz w:val="28"/>
          <w:szCs w:val="28"/>
        </w:rPr>
      </w:pPr>
      <w:r w:rsidRPr="00EE7EEC">
        <w:rPr>
          <w:rFonts w:ascii="Times New Roman" w:hAnsi="Times New Roman" w:cs="Times New Roman"/>
          <w:b/>
          <w:bCs/>
          <w:sz w:val="28"/>
          <w:szCs w:val="28"/>
        </w:rPr>
        <w:t>Tiêu</w:t>
      </w:r>
      <w:r w:rsidR="00EE7EEC" w:rsidRPr="00EE7EEC">
        <w:rPr>
          <w:rFonts w:ascii="Times New Roman" w:hAnsi="Times New Roman" w:cs="Times New Roman"/>
          <w:b/>
          <w:bCs/>
          <w:sz w:val="28"/>
          <w:szCs w:val="28"/>
        </w:rPr>
        <w:t xml:space="preserve"> chảy</w:t>
      </w:r>
      <w:r w:rsidRPr="00EE7EEC">
        <w:rPr>
          <w:rFonts w:ascii="Times New Roman" w:hAnsi="Times New Roman" w:cs="Times New Roman"/>
          <w:b/>
          <w:bCs/>
          <w:sz w:val="28"/>
          <w:szCs w:val="28"/>
        </w:rPr>
        <w:t xml:space="preserve"> phân máu</w:t>
      </w:r>
      <w:r>
        <w:rPr>
          <w:rFonts w:ascii="Times New Roman" w:hAnsi="Times New Roman" w:cs="Times New Roman"/>
          <w:sz w:val="28"/>
          <w:szCs w:val="28"/>
        </w:rPr>
        <w:t xml:space="preserve">: gây ra bởi vi khuẩn </w:t>
      </w:r>
      <w:r w:rsidR="00935442">
        <w:rPr>
          <w:rFonts w:ascii="Times New Roman" w:hAnsi="Times New Roman" w:cs="Times New Roman"/>
          <w:sz w:val="28"/>
          <w:szCs w:val="28"/>
        </w:rPr>
        <w:t>(Shigella chiếm 50% trường hợp, Campylobacter jejuni, Escherichia coli, Salmonella) hoặc k</w:t>
      </w:r>
      <w:r w:rsidR="00ED23FF">
        <w:rPr>
          <w:rFonts w:ascii="Times New Roman" w:hAnsi="Times New Roman" w:cs="Times New Roman"/>
          <w:sz w:val="28"/>
          <w:szCs w:val="28"/>
        </w:rPr>
        <w:t>ý</w:t>
      </w:r>
      <w:r w:rsidR="00935442">
        <w:rPr>
          <w:rFonts w:ascii="Times New Roman" w:hAnsi="Times New Roman" w:cs="Times New Roman"/>
          <w:sz w:val="28"/>
          <w:szCs w:val="28"/>
        </w:rPr>
        <w:t xml:space="preserve"> sinh trùng (lỵ amíp).</w:t>
      </w:r>
    </w:p>
    <w:p w14:paraId="26EC2600" w14:textId="316AB2F3" w:rsidR="001A5E52" w:rsidRDefault="00935442" w:rsidP="00574727">
      <w:pPr>
        <w:pStyle w:val="ListParagraph"/>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Tiêu chảy nhiễm trùng lây truyền qua tiếp xúc trực tiếp (tay bẩn) hoặc gián tiếp (dùng nước hoặc thực phẩm</w:t>
      </w:r>
      <w:r w:rsidR="00555C27">
        <w:rPr>
          <w:rFonts w:ascii="Times New Roman" w:hAnsi="Times New Roman" w:cs="Times New Roman"/>
          <w:sz w:val="28"/>
          <w:szCs w:val="28"/>
        </w:rPr>
        <w:t xml:space="preserve"> nhiễm</w:t>
      </w:r>
      <w:r>
        <w:rPr>
          <w:rFonts w:ascii="Times New Roman" w:hAnsi="Times New Roman" w:cs="Times New Roman"/>
          <w:sz w:val="28"/>
          <w:szCs w:val="28"/>
        </w:rPr>
        <w:t xml:space="preserve"> bẩn)</w:t>
      </w:r>
      <w:r w:rsidR="00555C27">
        <w:rPr>
          <w:rFonts w:ascii="Times New Roman" w:hAnsi="Times New Roman" w:cs="Times New Roman"/>
          <w:sz w:val="28"/>
          <w:szCs w:val="28"/>
        </w:rPr>
        <w:t>.</w:t>
      </w:r>
    </w:p>
    <w:p w14:paraId="13D974DC" w14:textId="5CD578B1" w:rsidR="00DC2F2A" w:rsidRDefault="001A5E52" w:rsidP="008001C6">
      <w:pPr>
        <w:pStyle w:val="ListParagraph"/>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Tỉ lệ tử vong do các bệnh lý tiêu chảy là do sự mất nước và thiếu dinh dưỡng</w:t>
      </w:r>
      <w:r w:rsidR="00935442">
        <w:rPr>
          <w:rFonts w:ascii="Times New Roman" w:hAnsi="Times New Roman" w:cs="Times New Roman"/>
          <w:sz w:val="28"/>
          <w:szCs w:val="28"/>
        </w:rPr>
        <w:t>.</w:t>
      </w:r>
      <w:r w:rsidR="006E5B6A">
        <w:rPr>
          <w:rFonts w:ascii="Times New Roman" w:hAnsi="Times New Roman" w:cs="Times New Roman"/>
          <w:sz w:val="28"/>
          <w:szCs w:val="28"/>
        </w:rPr>
        <w:t xml:space="preserve"> Điều này có thể phòng ngừa bằng việc bù nước và dinh dưỡng đầy đủ.</w:t>
      </w:r>
    </w:p>
    <w:p w14:paraId="559131B9" w14:textId="4A458853" w:rsidR="00DC2F2A" w:rsidRPr="008001C6" w:rsidRDefault="00DC2F2A" w:rsidP="008001C6">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Đặc điểm lâm sàng</w:t>
      </w:r>
    </w:p>
    <w:p w14:paraId="45BABD71" w14:textId="49DDE7F6" w:rsidR="00DC2F2A" w:rsidRPr="00DC2F2A" w:rsidRDefault="009A4F59" w:rsidP="008001C6">
      <w:pPr>
        <w:pStyle w:val="ListParagraph"/>
        <w:numPr>
          <w:ilvl w:val="0"/>
          <w:numId w:val="15"/>
        </w:numPr>
        <w:spacing w:after="0" w:line="240" w:lineRule="auto"/>
        <w:ind w:left="360"/>
        <w:rPr>
          <w:rFonts w:ascii="Times New Roman" w:hAnsi="Times New Roman" w:cs="Times New Roman"/>
          <w:b/>
          <w:bCs/>
          <w:sz w:val="28"/>
          <w:szCs w:val="28"/>
        </w:rPr>
      </w:pPr>
      <w:r>
        <w:rPr>
          <w:rFonts w:ascii="Times New Roman" w:hAnsi="Times New Roman" w:cs="Times New Roman"/>
          <w:sz w:val="28"/>
          <w:szCs w:val="28"/>
        </w:rPr>
        <w:t>Đầu tiên, đ</w:t>
      </w:r>
      <w:r w:rsidR="00DC2F2A">
        <w:rPr>
          <w:rFonts w:ascii="Times New Roman" w:hAnsi="Times New Roman" w:cs="Times New Roman"/>
          <w:sz w:val="28"/>
          <w:szCs w:val="28"/>
        </w:rPr>
        <w:t>ánh giá dấu hiệu mất nước (xem Mất nước, Chương 1).</w:t>
      </w:r>
    </w:p>
    <w:p w14:paraId="46375F74" w14:textId="712E83AD" w:rsidR="009A4F59" w:rsidRDefault="009A4F59" w:rsidP="009A4F59">
      <w:pPr>
        <w:pStyle w:val="ListParagraph"/>
        <w:numPr>
          <w:ilvl w:val="0"/>
          <w:numId w:val="15"/>
        </w:numPr>
        <w:spacing w:after="0" w:line="240" w:lineRule="auto"/>
        <w:ind w:left="360"/>
        <w:rPr>
          <w:rFonts w:ascii="Times New Roman" w:hAnsi="Times New Roman" w:cs="Times New Roman"/>
          <w:b/>
          <w:bCs/>
          <w:sz w:val="28"/>
          <w:szCs w:val="28"/>
        </w:rPr>
      </w:pPr>
      <w:r>
        <w:rPr>
          <w:rFonts w:ascii="Times New Roman" w:hAnsi="Times New Roman" w:cs="Times New Roman"/>
          <w:sz w:val="28"/>
          <w:szCs w:val="28"/>
        </w:rPr>
        <w:t>Sau đó, đ</w:t>
      </w:r>
      <w:r w:rsidR="00DC2F2A">
        <w:rPr>
          <w:rFonts w:ascii="Times New Roman" w:hAnsi="Times New Roman" w:cs="Times New Roman"/>
          <w:sz w:val="28"/>
          <w:szCs w:val="28"/>
        </w:rPr>
        <w:t>ánh giá các dấu hiệu khác:</w:t>
      </w:r>
    </w:p>
    <w:p w14:paraId="2CB19112" w14:textId="3682A49F" w:rsidR="009A4F59" w:rsidRPr="009A4F59" w:rsidRDefault="009A4F59" w:rsidP="009A4F59">
      <w:pPr>
        <w:pStyle w:val="ListParagraph"/>
        <w:numPr>
          <w:ilvl w:val="1"/>
          <w:numId w:val="15"/>
        </w:numPr>
        <w:spacing w:after="0" w:line="240" w:lineRule="auto"/>
        <w:ind w:left="720"/>
        <w:rPr>
          <w:rFonts w:ascii="Times New Roman" w:hAnsi="Times New Roman" w:cs="Times New Roman"/>
          <w:b/>
          <w:bCs/>
          <w:sz w:val="28"/>
          <w:szCs w:val="28"/>
        </w:rPr>
      </w:pPr>
      <w:r>
        <w:rPr>
          <w:rFonts w:ascii="Times New Roman" w:hAnsi="Times New Roman" w:cs="Times New Roman"/>
          <w:sz w:val="28"/>
          <w:szCs w:val="28"/>
        </w:rPr>
        <w:t>Tiêu chảy phân nước ồ ạt (tả, E.coli).</w:t>
      </w:r>
    </w:p>
    <w:p w14:paraId="05C8773E" w14:textId="268F74FB" w:rsidR="009A4F59" w:rsidRPr="009A4F59" w:rsidRDefault="009A4F59" w:rsidP="009A4F59">
      <w:pPr>
        <w:pStyle w:val="ListParagraph"/>
        <w:numPr>
          <w:ilvl w:val="1"/>
          <w:numId w:val="15"/>
        </w:numPr>
        <w:spacing w:after="0" w:line="240" w:lineRule="auto"/>
        <w:ind w:left="720"/>
        <w:rPr>
          <w:rFonts w:ascii="Times New Roman" w:hAnsi="Times New Roman" w:cs="Times New Roman"/>
          <w:b/>
          <w:bCs/>
          <w:sz w:val="28"/>
          <w:szCs w:val="28"/>
        </w:rPr>
      </w:pPr>
      <w:r>
        <w:rPr>
          <w:rFonts w:ascii="Times New Roman" w:hAnsi="Times New Roman" w:cs="Times New Roman"/>
          <w:sz w:val="28"/>
          <w:szCs w:val="28"/>
        </w:rPr>
        <w:t>Nôn ói nhiều (tả).</w:t>
      </w:r>
    </w:p>
    <w:p w14:paraId="30CC9AF9" w14:textId="34B96C1E" w:rsidR="009A4F59" w:rsidRPr="009A4F59" w:rsidRDefault="009A4F59" w:rsidP="009A4F59">
      <w:pPr>
        <w:pStyle w:val="ListParagraph"/>
        <w:numPr>
          <w:ilvl w:val="1"/>
          <w:numId w:val="15"/>
        </w:numPr>
        <w:spacing w:after="0" w:line="240" w:lineRule="auto"/>
        <w:ind w:left="720"/>
        <w:rPr>
          <w:rFonts w:ascii="Times New Roman" w:hAnsi="Times New Roman" w:cs="Times New Roman"/>
          <w:b/>
          <w:bCs/>
          <w:sz w:val="28"/>
          <w:szCs w:val="28"/>
        </w:rPr>
      </w:pPr>
      <w:r>
        <w:rPr>
          <w:rFonts w:ascii="Times New Roman" w:hAnsi="Times New Roman" w:cs="Times New Roman"/>
          <w:sz w:val="28"/>
          <w:szCs w:val="28"/>
        </w:rPr>
        <w:t>Sốt (Salmonella, virus).</w:t>
      </w:r>
    </w:p>
    <w:p w14:paraId="03409FFC" w14:textId="68FB8D3A" w:rsidR="00574727" w:rsidRDefault="009A4F59" w:rsidP="00574727">
      <w:pPr>
        <w:pStyle w:val="ListParagraph"/>
        <w:numPr>
          <w:ilvl w:val="1"/>
          <w:numId w:val="15"/>
        </w:numPr>
        <w:spacing w:after="0" w:line="240" w:lineRule="auto"/>
        <w:ind w:left="720"/>
        <w:rPr>
          <w:rFonts w:ascii="Times New Roman" w:hAnsi="Times New Roman" w:cs="Times New Roman"/>
          <w:b/>
          <w:bCs/>
          <w:sz w:val="28"/>
          <w:szCs w:val="28"/>
        </w:rPr>
      </w:pPr>
      <w:r>
        <w:rPr>
          <w:rFonts w:ascii="Times New Roman" w:hAnsi="Times New Roman" w:cs="Times New Roman"/>
          <w:sz w:val="28"/>
          <w:szCs w:val="28"/>
        </w:rPr>
        <w:t>Có máu đỏ trong phân</w:t>
      </w:r>
      <w:r w:rsidR="00C554B0">
        <w:rPr>
          <w:rFonts w:ascii="Times New Roman" w:hAnsi="Times New Roman" w:cs="Times New Roman"/>
          <w:sz w:val="28"/>
          <w:szCs w:val="28"/>
        </w:rPr>
        <w:t>: xem Lỵ trực khuẩn (Shigella) và Lỵ amíp (Chương 3).</w:t>
      </w:r>
    </w:p>
    <w:p w14:paraId="7DF99DB7" w14:textId="04BF74F5" w:rsidR="00574727" w:rsidRPr="00574727" w:rsidRDefault="00574727" w:rsidP="008001C6">
      <w:pPr>
        <w:pStyle w:val="ListParagraph"/>
        <w:numPr>
          <w:ilvl w:val="0"/>
          <w:numId w:val="15"/>
        </w:numPr>
        <w:spacing w:after="0" w:line="240" w:lineRule="auto"/>
        <w:ind w:left="360"/>
        <w:rPr>
          <w:rFonts w:ascii="Times New Roman" w:hAnsi="Times New Roman" w:cs="Times New Roman"/>
          <w:b/>
          <w:bCs/>
          <w:sz w:val="28"/>
          <w:szCs w:val="28"/>
        </w:rPr>
      </w:pPr>
      <w:r>
        <w:rPr>
          <w:rFonts w:ascii="Times New Roman" w:hAnsi="Times New Roman" w:cs="Times New Roman"/>
          <w:sz w:val="28"/>
          <w:szCs w:val="28"/>
        </w:rPr>
        <w:t>Ở bệnh nhân trên 5 tuổi bị mất nước nặng và khởi phát nhanh, cần nghi ngờ tả.</w:t>
      </w:r>
    </w:p>
    <w:p w14:paraId="6BA8B354" w14:textId="3FF68CAF" w:rsidR="00DC2F2A" w:rsidRPr="008001C6" w:rsidRDefault="00152777" w:rsidP="008001C6">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Điều trị</w:t>
      </w:r>
    </w:p>
    <w:p w14:paraId="73C64D12" w14:textId="53138CCC" w:rsidR="00574727" w:rsidRDefault="00574727" w:rsidP="008001C6">
      <w:pPr>
        <w:spacing w:after="0" w:line="240" w:lineRule="auto"/>
        <w:rPr>
          <w:rFonts w:ascii="Times New Roman" w:hAnsi="Times New Roman" w:cs="Times New Roman"/>
          <w:sz w:val="28"/>
          <w:szCs w:val="28"/>
        </w:rPr>
      </w:pPr>
      <w:r>
        <w:rPr>
          <w:rFonts w:ascii="Times New Roman" w:hAnsi="Times New Roman" w:cs="Times New Roman"/>
          <w:sz w:val="28"/>
          <w:szCs w:val="28"/>
        </w:rPr>
        <w:t>Nguyên tắc chung:</w:t>
      </w:r>
    </w:p>
    <w:p w14:paraId="0973FC9B" w14:textId="7220560A" w:rsidR="00574727" w:rsidRDefault="00574727" w:rsidP="00574727">
      <w:pPr>
        <w:pStyle w:val="ListParagraph"/>
        <w:numPr>
          <w:ilvl w:val="0"/>
          <w:numId w:val="16"/>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Dự phòng và điều trị mất nước</w:t>
      </w:r>
      <w:r w:rsidR="00A875EC">
        <w:rPr>
          <w:rFonts w:ascii="Times New Roman" w:hAnsi="Times New Roman" w:cs="Times New Roman"/>
          <w:sz w:val="28"/>
          <w:szCs w:val="28"/>
        </w:rPr>
        <w:t>: việc bù nước bao gồm nhanh chóng thay thế lượng dịch và điện giải đã mất, cho đến khi ngưng tiêu chảy.</w:t>
      </w:r>
    </w:p>
    <w:p w14:paraId="18E98606" w14:textId="6A5C36FC" w:rsidR="00F93C9F" w:rsidRDefault="0041142E" w:rsidP="00574727">
      <w:pPr>
        <w:pStyle w:val="ListParagraph"/>
        <w:numPr>
          <w:ilvl w:val="0"/>
          <w:numId w:val="16"/>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Bổ sung</w:t>
      </w:r>
      <w:r w:rsidR="006A2243">
        <w:rPr>
          <w:rFonts w:ascii="Times New Roman" w:hAnsi="Times New Roman" w:cs="Times New Roman"/>
          <w:sz w:val="28"/>
          <w:szCs w:val="28"/>
        </w:rPr>
        <w:t xml:space="preserve"> kẽm sulfat cho trẻ dưới 5 tuổi.</w:t>
      </w:r>
    </w:p>
    <w:p w14:paraId="2648288B" w14:textId="60462CA3" w:rsidR="006A2243" w:rsidRDefault="006A2243" w:rsidP="00574727">
      <w:pPr>
        <w:pStyle w:val="ListParagraph"/>
        <w:numPr>
          <w:ilvl w:val="0"/>
          <w:numId w:val="16"/>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Phòng ngừa thiếu dinh dưỡng.</w:t>
      </w:r>
    </w:p>
    <w:p w14:paraId="3B7E6D53" w14:textId="128C4776" w:rsidR="006A2243" w:rsidRDefault="006A2243" w:rsidP="00574727">
      <w:pPr>
        <w:pStyle w:val="ListParagraph"/>
        <w:numPr>
          <w:ilvl w:val="0"/>
          <w:numId w:val="16"/>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Không nên dùng kháng sinh một cách thường quy: chỉ một số trường hợp tiêu chảy cần dùng kháng sinh (xem phần Điều trị kháng sinh).</w:t>
      </w:r>
    </w:p>
    <w:p w14:paraId="1160D918" w14:textId="6D57E6D0" w:rsidR="006A2243" w:rsidRDefault="006A2243" w:rsidP="00574727">
      <w:pPr>
        <w:pStyle w:val="ListParagraph"/>
        <w:numPr>
          <w:ilvl w:val="0"/>
          <w:numId w:val="16"/>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Không dùng thuốc chống tiêu chảy hoặc thuốc chống nôn.</w:t>
      </w:r>
    </w:p>
    <w:p w14:paraId="541A715C" w14:textId="75AB0832" w:rsidR="00152777" w:rsidRPr="008001C6" w:rsidRDefault="006A2243" w:rsidP="008001C6">
      <w:pPr>
        <w:pStyle w:val="ListParagraph"/>
        <w:numPr>
          <w:ilvl w:val="0"/>
          <w:numId w:val="16"/>
        </w:numPr>
        <w:spacing w:after="120" w:line="240" w:lineRule="auto"/>
        <w:ind w:left="360"/>
        <w:rPr>
          <w:rFonts w:ascii="Times New Roman" w:hAnsi="Times New Roman" w:cs="Times New Roman"/>
          <w:sz w:val="28"/>
          <w:szCs w:val="28"/>
        </w:rPr>
      </w:pPr>
      <w:r>
        <w:rPr>
          <w:rFonts w:ascii="Times New Roman" w:hAnsi="Times New Roman" w:cs="Times New Roman"/>
          <w:sz w:val="28"/>
          <w:szCs w:val="28"/>
        </w:rPr>
        <w:t>Điều trị bệnh nguyên nếu có (sốt rét, viêm tai, nhiễm trùng hô hấp, …).</w:t>
      </w:r>
    </w:p>
    <w:p w14:paraId="157BB8A8" w14:textId="77777777" w:rsidR="00152777" w:rsidRPr="00C72DA9" w:rsidRDefault="00152777" w:rsidP="008001C6">
      <w:pPr>
        <w:spacing w:after="0" w:line="240" w:lineRule="auto"/>
        <w:rPr>
          <w:rFonts w:ascii="Times New Roman" w:hAnsi="Times New Roman" w:cs="Times New Roman"/>
          <w:b/>
          <w:bCs/>
          <w:sz w:val="28"/>
          <w:szCs w:val="28"/>
        </w:rPr>
      </w:pPr>
      <w:r w:rsidRPr="00C72DA9">
        <w:rPr>
          <w:rFonts w:ascii="Times New Roman" w:hAnsi="Times New Roman" w:cs="Times New Roman"/>
          <w:b/>
          <w:bCs/>
          <w:sz w:val="28"/>
          <w:szCs w:val="28"/>
        </w:rPr>
        <w:t>Phòng ngừa và điều trị mất nước</w:t>
      </w:r>
    </w:p>
    <w:p w14:paraId="56DEE352" w14:textId="64EC44A9" w:rsidR="00F05951" w:rsidRPr="00F05951" w:rsidRDefault="00F05951" w:rsidP="008001C6">
      <w:pPr>
        <w:pStyle w:val="ListParagraph"/>
        <w:numPr>
          <w:ilvl w:val="0"/>
          <w:numId w:val="18"/>
        </w:numPr>
        <w:spacing w:after="0" w:line="240" w:lineRule="auto"/>
        <w:ind w:left="360"/>
        <w:rPr>
          <w:rFonts w:ascii="Times New Roman" w:hAnsi="Times New Roman" w:cs="Times New Roman"/>
          <w:b/>
          <w:bCs/>
          <w:sz w:val="28"/>
          <w:szCs w:val="28"/>
        </w:rPr>
      </w:pPr>
      <w:r>
        <w:rPr>
          <w:rFonts w:ascii="Times New Roman" w:hAnsi="Times New Roman" w:cs="Times New Roman"/>
          <w:sz w:val="28"/>
          <w:szCs w:val="28"/>
        </w:rPr>
        <w:t>Xem Mất nước, Chương 1.</w:t>
      </w:r>
    </w:p>
    <w:p w14:paraId="4667BD87" w14:textId="1C2A2636" w:rsidR="00152777" w:rsidRPr="008001C6" w:rsidRDefault="00F05951" w:rsidP="00152777">
      <w:pPr>
        <w:pStyle w:val="ListParagraph"/>
        <w:numPr>
          <w:ilvl w:val="0"/>
          <w:numId w:val="18"/>
        </w:numPr>
        <w:spacing w:after="0" w:line="240" w:lineRule="auto"/>
        <w:ind w:left="360"/>
        <w:rPr>
          <w:rFonts w:ascii="Times New Roman" w:hAnsi="Times New Roman" w:cs="Times New Roman"/>
          <w:b/>
          <w:bCs/>
          <w:sz w:val="28"/>
          <w:szCs w:val="28"/>
        </w:rPr>
      </w:pPr>
      <w:r>
        <w:rPr>
          <w:rFonts w:ascii="Times New Roman" w:hAnsi="Times New Roman" w:cs="Times New Roman"/>
          <w:sz w:val="28"/>
          <w:szCs w:val="28"/>
        </w:rPr>
        <w:t>Khuyến cáo áp dụng phác đồ điều trị phù hợp cho trẻ suy dinh dưỡng</w:t>
      </w:r>
      <w:r w:rsidR="00B33BB2">
        <w:rPr>
          <w:rFonts w:ascii="Times New Roman" w:hAnsi="Times New Roman" w:cs="Times New Roman"/>
          <w:sz w:val="28"/>
          <w:szCs w:val="28"/>
        </w:rPr>
        <w:t xml:space="preserve"> (xem Suy dinh dưỡng cấp nặng, Chương 1).</w:t>
      </w:r>
    </w:p>
    <w:p w14:paraId="14DEBC3D" w14:textId="77777777" w:rsidR="00152777" w:rsidRPr="00975343" w:rsidRDefault="00152777" w:rsidP="008001C6">
      <w:pPr>
        <w:spacing w:after="0" w:line="240" w:lineRule="auto"/>
        <w:rPr>
          <w:rFonts w:ascii="Times New Roman" w:hAnsi="Times New Roman" w:cs="Times New Roman"/>
          <w:b/>
          <w:bCs/>
          <w:sz w:val="28"/>
          <w:szCs w:val="28"/>
        </w:rPr>
      </w:pPr>
      <w:r w:rsidRPr="00975343">
        <w:rPr>
          <w:rFonts w:ascii="Times New Roman" w:hAnsi="Times New Roman" w:cs="Times New Roman"/>
          <w:b/>
          <w:bCs/>
          <w:sz w:val="28"/>
          <w:szCs w:val="28"/>
        </w:rPr>
        <w:lastRenderedPageBreak/>
        <w:t>Dinh dưỡng</w:t>
      </w:r>
    </w:p>
    <w:p w14:paraId="3FE81B9E" w14:textId="1B2181E5" w:rsidR="00152777" w:rsidRPr="00975343" w:rsidRDefault="0042515D" w:rsidP="008001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Tiếp túc chế độ ăn bình thường. Ở trẻ đang bú mẹ, cần tăng số cử bú. Sữa mẹ không thay thế được ORS, </w:t>
      </w:r>
      <w:r w:rsidR="003A0669">
        <w:rPr>
          <w:rFonts w:ascii="Times New Roman" w:hAnsi="Times New Roman" w:cs="Times New Roman"/>
          <w:sz w:val="28"/>
          <w:szCs w:val="28"/>
        </w:rPr>
        <w:t xml:space="preserve">cần </w:t>
      </w:r>
      <w:r>
        <w:rPr>
          <w:rFonts w:ascii="Times New Roman" w:hAnsi="Times New Roman" w:cs="Times New Roman"/>
          <w:sz w:val="28"/>
          <w:szCs w:val="28"/>
        </w:rPr>
        <w:t>cung cấp thêm ORS giữa các cử bú.</w:t>
      </w:r>
    </w:p>
    <w:p w14:paraId="467863B9" w14:textId="77777777" w:rsidR="00152777" w:rsidRPr="00975343" w:rsidRDefault="00152777" w:rsidP="008001C6">
      <w:pPr>
        <w:spacing w:after="0" w:line="240" w:lineRule="auto"/>
        <w:rPr>
          <w:rFonts w:ascii="Times New Roman" w:hAnsi="Times New Roman" w:cs="Times New Roman"/>
          <w:b/>
          <w:bCs/>
          <w:sz w:val="28"/>
          <w:szCs w:val="28"/>
        </w:rPr>
      </w:pPr>
      <w:r w:rsidRPr="00975343">
        <w:rPr>
          <w:rFonts w:ascii="Times New Roman" w:hAnsi="Times New Roman" w:cs="Times New Roman"/>
          <w:b/>
          <w:bCs/>
          <w:sz w:val="28"/>
          <w:szCs w:val="28"/>
        </w:rPr>
        <w:t>Bổ sung kẽm</w:t>
      </w:r>
    </w:p>
    <w:p w14:paraId="13969C8E" w14:textId="76127E65" w:rsidR="00152777" w:rsidRDefault="00C26DB0" w:rsidP="008001C6">
      <w:pPr>
        <w:spacing w:after="0" w:line="240" w:lineRule="auto"/>
        <w:rPr>
          <w:rFonts w:ascii="Times New Roman" w:hAnsi="Times New Roman" w:cs="Times New Roman"/>
          <w:sz w:val="28"/>
          <w:szCs w:val="28"/>
        </w:rPr>
      </w:pPr>
      <w:r w:rsidRPr="00C26DB0">
        <w:rPr>
          <w:rFonts w:ascii="Times New Roman" w:hAnsi="Times New Roman" w:cs="Times New Roman"/>
          <w:sz w:val="28"/>
          <w:szCs w:val="28"/>
        </w:rPr>
        <w:t>Kẽm sulfat được dùng kết hợp với dung dịch bù nước đường uống (ORS) nhằm rút ngắn thời gian và mức độ nặng của tiêu chảy, đồng thời phòng ngừa tái phát trong vòng 2 đến 3 tháng sau điều trị.</w:t>
      </w:r>
    </w:p>
    <w:p w14:paraId="1138AA38" w14:textId="77777777" w:rsidR="00C26DB0" w:rsidRDefault="00C26DB0" w:rsidP="008001C6">
      <w:pPr>
        <w:spacing w:after="0" w:line="240" w:lineRule="auto"/>
        <w:rPr>
          <w:rFonts w:ascii="Times New Roman" w:hAnsi="Times New Roman" w:cs="Times New Roman"/>
          <w:sz w:val="28"/>
          <w:szCs w:val="28"/>
        </w:rPr>
      </w:pPr>
      <w:r w:rsidRPr="00860DBD">
        <w:rPr>
          <w:rFonts w:ascii="Times New Roman" w:hAnsi="Times New Roman" w:cs="Times New Roman"/>
          <w:b/>
          <w:bCs/>
          <w:sz w:val="28"/>
          <w:szCs w:val="28"/>
        </w:rPr>
        <w:t>Kẽm sulfat đường uống</w:t>
      </w:r>
      <w:r w:rsidRPr="00C26DB0">
        <w:rPr>
          <w:rFonts w:ascii="Times New Roman" w:hAnsi="Times New Roman" w:cs="Times New Roman"/>
          <w:sz w:val="28"/>
          <w:szCs w:val="28"/>
        </w:rPr>
        <w:t xml:space="preserve"> (PO):</w:t>
      </w:r>
    </w:p>
    <w:p w14:paraId="1A798FCC" w14:textId="77777777" w:rsidR="00C26DB0" w:rsidRDefault="00C26DB0" w:rsidP="008001C6">
      <w:pPr>
        <w:spacing w:after="0" w:line="240" w:lineRule="auto"/>
        <w:rPr>
          <w:rFonts w:ascii="Times New Roman" w:hAnsi="Times New Roman" w:cs="Times New Roman"/>
          <w:sz w:val="28"/>
          <w:szCs w:val="28"/>
        </w:rPr>
      </w:pPr>
      <w:r w:rsidRPr="00C26DB0">
        <w:rPr>
          <w:rFonts w:ascii="Times New Roman" w:hAnsi="Times New Roman" w:cs="Times New Roman"/>
          <w:sz w:val="28"/>
          <w:szCs w:val="28"/>
        </w:rPr>
        <w:t>Trẻ dưới 6 tháng: 10 mg (½ viên) uống 1 lần/ngày trong 10 ngày.</w:t>
      </w:r>
    </w:p>
    <w:p w14:paraId="002E2646" w14:textId="6DC78656" w:rsidR="00C26DB0" w:rsidRDefault="00C26DB0" w:rsidP="008001C6">
      <w:pPr>
        <w:spacing w:after="0" w:line="240" w:lineRule="auto"/>
        <w:rPr>
          <w:rFonts w:ascii="Times New Roman" w:hAnsi="Times New Roman" w:cs="Times New Roman"/>
          <w:sz w:val="28"/>
          <w:szCs w:val="28"/>
        </w:rPr>
      </w:pPr>
      <w:r w:rsidRPr="00C26DB0">
        <w:rPr>
          <w:rFonts w:ascii="Times New Roman" w:hAnsi="Times New Roman" w:cs="Times New Roman"/>
          <w:sz w:val="28"/>
          <w:szCs w:val="28"/>
        </w:rPr>
        <w:t>Trẻ từ 6 tháng đến 5 tuổi: 20 mg (1 viên) uống 1 lần/ngày trong 10 ngày.</w:t>
      </w:r>
    </w:p>
    <w:p w14:paraId="41236609" w14:textId="1F8B1242" w:rsidR="00C26DB0" w:rsidRPr="00975343" w:rsidRDefault="00C26DB0" w:rsidP="008001C6">
      <w:pPr>
        <w:spacing w:after="0" w:line="240" w:lineRule="auto"/>
        <w:rPr>
          <w:rFonts w:ascii="Times New Roman" w:hAnsi="Times New Roman" w:cs="Times New Roman"/>
          <w:sz w:val="28"/>
          <w:szCs w:val="28"/>
        </w:rPr>
      </w:pPr>
      <w:r w:rsidRPr="00C26DB0">
        <w:rPr>
          <w:rFonts w:ascii="Times New Roman" w:hAnsi="Times New Roman" w:cs="Times New Roman"/>
          <w:sz w:val="28"/>
          <w:szCs w:val="28"/>
        </w:rPr>
        <w:t>Đặt nửa viên hoặc cả viên thuốc vào thìa, thêm một chút nước để hòa tan, rồi cho trẻ uống hết toàn bộ thìa thuốc đó</w:t>
      </w:r>
      <w:r>
        <w:rPr>
          <w:rFonts w:ascii="Times New Roman" w:hAnsi="Times New Roman" w:cs="Times New Roman"/>
          <w:sz w:val="28"/>
          <w:szCs w:val="28"/>
        </w:rPr>
        <w:t>.</w:t>
      </w:r>
    </w:p>
    <w:p w14:paraId="1400C017" w14:textId="77777777" w:rsidR="00152777" w:rsidRPr="00975343" w:rsidRDefault="00152777" w:rsidP="008001C6">
      <w:pPr>
        <w:spacing w:after="0" w:line="240" w:lineRule="auto"/>
        <w:rPr>
          <w:rFonts w:ascii="Times New Roman" w:hAnsi="Times New Roman" w:cs="Times New Roman"/>
          <w:b/>
          <w:bCs/>
          <w:sz w:val="28"/>
          <w:szCs w:val="28"/>
        </w:rPr>
      </w:pPr>
      <w:r w:rsidRPr="00975343">
        <w:rPr>
          <w:rFonts w:ascii="Times New Roman" w:hAnsi="Times New Roman" w:cs="Times New Roman"/>
          <w:b/>
          <w:bCs/>
          <w:sz w:val="28"/>
          <w:szCs w:val="28"/>
        </w:rPr>
        <w:t>Kháng sinh</w:t>
      </w:r>
    </w:p>
    <w:p w14:paraId="7BD5F749" w14:textId="73F6E09A" w:rsidR="00152777" w:rsidRPr="00F31713" w:rsidRDefault="00F31713" w:rsidP="008001C6">
      <w:pPr>
        <w:spacing w:after="0" w:line="240" w:lineRule="auto"/>
        <w:rPr>
          <w:rFonts w:ascii="Times New Roman" w:hAnsi="Times New Roman" w:cs="Times New Roman"/>
          <w:b/>
          <w:bCs/>
          <w:sz w:val="28"/>
          <w:szCs w:val="28"/>
        </w:rPr>
      </w:pPr>
      <w:r w:rsidRPr="00F31713">
        <w:rPr>
          <w:rFonts w:ascii="Times New Roman" w:hAnsi="Times New Roman" w:cs="Times New Roman"/>
          <w:b/>
          <w:bCs/>
          <w:sz w:val="28"/>
          <w:szCs w:val="28"/>
        </w:rPr>
        <w:t>Tiêu chảy phân không máu</w:t>
      </w:r>
    </w:p>
    <w:p w14:paraId="3FBDE5C2" w14:textId="2137ED83" w:rsidR="00F31713" w:rsidRDefault="00072BB1" w:rsidP="008001C6">
      <w:pPr>
        <w:spacing w:after="0" w:line="240" w:lineRule="auto"/>
        <w:rPr>
          <w:rFonts w:ascii="Times New Roman" w:hAnsi="Times New Roman" w:cs="Times New Roman"/>
          <w:sz w:val="28"/>
          <w:szCs w:val="28"/>
        </w:rPr>
      </w:pPr>
      <w:r>
        <w:rPr>
          <w:rFonts w:ascii="Times New Roman" w:hAnsi="Times New Roman" w:cs="Times New Roman"/>
          <w:sz w:val="28"/>
          <w:szCs w:val="28"/>
        </w:rPr>
        <w:t>Đa số</w:t>
      </w:r>
      <w:r w:rsidR="00F31713">
        <w:rPr>
          <w:rFonts w:ascii="Times New Roman" w:hAnsi="Times New Roman" w:cs="Times New Roman"/>
          <w:sz w:val="28"/>
          <w:szCs w:val="28"/>
        </w:rPr>
        <w:t xml:space="preserve"> </w:t>
      </w:r>
      <w:r>
        <w:rPr>
          <w:rFonts w:ascii="Times New Roman" w:hAnsi="Times New Roman" w:cs="Times New Roman"/>
          <w:sz w:val="28"/>
          <w:szCs w:val="28"/>
        </w:rPr>
        <w:t xml:space="preserve">tiêu chảy cấp do siêu vi không đáp ứng với kháng sinh. </w:t>
      </w:r>
      <w:r w:rsidR="001B1A5A">
        <w:rPr>
          <w:rFonts w:ascii="Times New Roman" w:hAnsi="Times New Roman" w:cs="Times New Roman"/>
          <w:sz w:val="28"/>
          <w:szCs w:val="28"/>
        </w:rPr>
        <w:t>Kháng sinh chỉ có ích trong trường hợp tả hoặc Giardia.</w:t>
      </w:r>
    </w:p>
    <w:p w14:paraId="76F79532" w14:textId="193CDEF5" w:rsidR="001B1A5A" w:rsidRDefault="001B1A5A" w:rsidP="001B1A5A">
      <w:pPr>
        <w:pStyle w:val="ListParagraph"/>
        <w:numPr>
          <w:ilvl w:val="0"/>
          <w:numId w:val="20"/>
        </w:numPr>
        <w:spacing w:after="0" w:line="240" w:lineRule="auto"/>
        <w:ind w:left="360"/>
        <w:rPr>
          <w:rFonts w:ascii="Times New Roman" w:hAnsi="Times New Roman" w:cs="Times New Roman"/>
          <w:sz w:val="28"/>
          <w:szCs w:val="28"/>
        </w:rPr>
      </w:pPr>
      <w:r w:rsidRPr="001B1A5A">
        <w:rPr>
          <w:rFonts w:ascii="Times New Roman" w:hAnsi="Times New Roman" w:cs="Times New Roman"/>
          <w:b/>
          <w:bCs/>
          <w:sz w:val="28"/>
          <w:szCs w:val="28"/>
        </w:rPr>
        <w:t>Tả</w:t>
      </w:r>
      <w:r>
        <w:rPr>
          <w:rFonts w:ascii="Times New Roman" w:hAnsi="Times New Roman" w:cs="Times New Roman"/>
          <w:sz w:val="28"/>
          <w:szCs w:val="28"/>
        </w:rPr>
        <w:t>: quan trọng nhất là bù dịch. Nếu không có tình trạng kháng thuốc, kháng sinh giúp rút ngắn thời gian tiêu chảy (cần làm kháng sinh đồ ngay từ khi bắt đầu đợt bệnh).</w:t>
      </w:r>
      <w:r w:rsidR="00C72DA9">
        <w:rPr>
          <w:rFonts w:ascii="Times New Roman" w:hAnsi="Times New Roman" w:cs="Times New Roman"/>
          <w:sz w:val="28"/>
          <w:szCs w:val="28"/>
        </w:rPr>
        <w:t xml:space="preserve"> Xem thêm dướng dẫn Quản lý dịch tả.</w:t>
      </w:r>
    </w:p>
    <w:p w14:paraId="1F3B0994" w14:textId="729EC09F" w:rsidR="001B1A5A" w:rsidRPr="001B1A5A" w:rsidRDefault="001B1A5A" w:rsidP="008001C6">
      <w:pPr>
        <w:pStyle w:val="ListParagraph"/>
        <w:numPr>
          <w:ilvl w:val="0"/>
          <w:numId w:val="20"/>
        </w:numPr>
        <w:spacing w:after="0" w:line="240" w:lineRule="auto"/>
        <w:ind w:left="360"/>
        <w:rPr>
          <w:rFonts w:ascii="Times New Roman" w:hAnsi="Times New Roman" w:cs="Times New Roman"/>
          <w:sz w:val="28"/>
          <w:szCs w:val="28"/>
        </w:rPr>
      </w:pPr>
      <w:r w:rsidRPr="001B1A5A">
        <w:rPr>
          <w:rFonts w:ascii="Times New Roman" w:hAnsi="Times New Roman" w:cs="Times New Roman"/>
          <w:b/>
          <w:bCs/>
          <w:sz w:val="28"/>
          <w:szCs w:val="28"/>
        </w:rPr>
        <w:t>Giardia</w:t>
      </w:r>
      <w:r>
        <w:rPr>
          <w:rFonts w:ascii="Times New Roman" w:hAnsi="Times New Roman" w:cs="Times New Roman"/>
          <w:sz w:val="28"/>
          <w:szCs w:val="28"/>
        </w:rPr>
        <w:t>: xem Nhiễm k</w:t>
      </w:r>
      <w:r w:rsidR="00ED23FF">
        <w:rPr>
          <w:rFonts w:ascii="Times New Roman" w:hAnsi="Times New Roman" w:cs="Times New Roman"/>
          <w:sz w:val="28"/>
          <w:szCs w:val="28"/>
        </w:rPr>
        <w:t>ý</w:t>
      </w:r>
      <w:r>
        <w:rPr>
          <w:rFonts w:ascii="Times New Roman" w:hAnsi="Times New Roman" w:cs="Times New Roman"/>
          <w:sz w:val="28"/>
          <w:szCs w:val="28"/>
        </w:rPr>
        <w:t xml:space="preserve"> sinh trùng đường ruột, Chương 6.</w:t>
      </w:r>
    </w:p>
    <w:p w14:paraId="4DB604E1" w14:textId="2E4112DE" w:rsidR="00F31713" w:rsidRPr="00F31713" w:rsidRDefault="00F31713" w:rsidP="008001C6">
      <w:pPr>
        <w:spacing w:after="0" w:line="240" w:lineRule="auto"/>
        <w:rPr>
          <w:rFonts w:ascii="Times New Roman" w:hAnsi="Times New Roman" w:cs="Times New Roman"/>
          <w:b/>
          <w:bCs/>
          <w:sz w:val="28"/>
          <w:szCs w:val="28"/>
        </w:rPr>
      </w:pPr>
      <w:r w:rsidRPr="00F31713">
        <w:rPr>
          <w:rFonts w:ascii="Times New Roman" w:hAnsi="Times New Roman" w:cs="Times New Roman"/>
          <w:b/>
          <w:bCs/>
          <w:sz w:val="28"/>
          <w:szCs w:val="28"/>
        </w:rPr>
        <w:t>Tiêu chảy phân máu</w:t>
      </w:r>
    </w:p>
    <w:p w14:paraId="7F45EF1C" w14:textId="77777777" w:rsidR="00E320E5" w:rsidRDefault="001B1A5A" w:rsidP="008001C6">
      <w:pPr>
        <w:pStyle w:val="ListParagraph"/>
        <w:numPr>
          <w:ilvl w:val="0"/>
          <w:numId w:val="2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Shigella là nguyên nhân thường gặp nhất trong tiêu chảy phân máu. </w:t>
      </w:r>
      <w:r w:rsidR="00E320E5">
        <w:rPr>
          <w:rFonts w:ascii="Times New Roman" w:hAnsi="Times New Roman" w:cs="Times New Roman"/>
          <w:sz w:val="28"/>
          <w:szCs w:val="28"/>
        </w:rPr>
        <w:t>Nếu không có xét nghiệm chẩn đoán sự hiện diện của amíp, điều trị đầu tiên nên dành cho Shigella.</w:t>
      </w:r>
    </w:p>
    <w:p w14:paraId="5A7CAFEB" w14:textId="17884B2B" w:rsidR="00152777" w:rsidRPr="001B1A5A" w:rsidRDefault="00E320E5" w:rsidP="008001C6">
      <w:pPr>
        <w:pStyle w:val="ListParagraph"/>
        <w:numPr>
          <w:ilvl w:val="0"/>
          <w:numId w:val="2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Lỵ amíp: </w:t>
      </w:r>
      <w:r w:rsidRPr="00E320E5">
        <w:rPr>
          <w:rFonts w:ascii="Times New Roman" w:hAnsi="Times New Roman" w:cs="Times New Roman"/>
          <w:sz w:val="28"/>
          <w:szCs w:val="28"/>
        </w:rPr>
        <w:t xml:space="preserve">Điều trị kháng ký sinh trùng chỉ thực hiện khi phát hiện thể hoạt động của </w:t>
      </w:r>
      <w:r w:rsidRPr="00E320E5">
        <w:rPr>
          <w:rFonts w:ascii="Times New Roman" w:hAnsi="Times New Roman" w:cs="Times New Roman"/>
          <w:i/>
          <w:iCs/>
          <w:sz w:val="28"/>
          <w:szCs w:val="28"/>
        </w:rPr>
        <w:t>Entamoeba histolytica</w:t>
      </w:r>
      <w:r w:rsidRPr="00E320E5">
        <w:rPr>
          <w:rFonts w:ascii="Times New Roman" w:hAnsi="Times New Roman" w:cs="Times New Roman"/>
          <w:sz w:val="28"/>
          <w:szCs w:val="28"/>
        </w:rPr>
        <w:t xml:space="preserve"> trong phân hoặc khi điều trị </w:t>
      </w:r>
      <w:r w:rsidR="00EA570B">
        <w:rPr>
          <w:rFonts w:ascii="Times New Roman" w:hAnsi="Times New Roman" w:cs="Times New Roman"/>
          <w:sz w:val="28"/>
          <w:szCs w:val="28"/>
        </w:rPr>
        <w:t>Shigella</w:t>
      </w:r>
      <w:r w:rsidRPr="00E320E5">
        <w:rPr>
          <w:rFonts w:ascii="Times New Roman" w:hAnsi="Times New Roman" w:cs="Times New Roman"/>
          <w:sz w:val="28"/>
          <w:szCs w:val="28"/>
        </w:rPr>
        <w:t xml:space="preserve"> đúng phác đồ nhưng không hiệu quả.</w:t>
      </w:r>
      <w:r w:rsidR="001B1A5A" w:rsidRPr="00E320E5">
        <w:rPr>
          <w:rFonts w:ascii="Times New Roman" w:hAnsi="Times New Roman" w:cs="Times New Roman"/>
          <w:sz w:val="28"/>
          <w:szCs w:val="28"/>
        </w:rPr>
        <w:t xml:space="preserve"> </w:t>
      </w:r>
    </w:p>
    <w:p w14:paraId="7C75A2B5" w14:textId="77777777" w:rsidR="00152777" w:rsidRPr="008001C6" w:rsidRDefault="00152777" w:rsidP="008001C6">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Phòng ngừa</w:t>
      </w:r>
    </w:p>
    <w:p w14:paraId="47EFFFE0" w14:textId="58180896" w:rsidR="00152777" w:rsidRDefault="00E320E5" w:rsidP="00E320E5">
      <w:pPr>
        <w:pStyle w:val="ListParagraph"/>
        <w:numPr>
          <w:ilvl w:val="0"/>
          <w:numId w:val="22"/>
        </w:numPr>
        <w:spacing w:after="0" w:line="240" w:lineRule="auto"/>
        <w:ind w:left="360"/>
        <w:rPr>
          <w:rFonts w:ascii="Times New Roman" w:hAnsi="Times New Roman" w:cs="Times New Roman"/>
          <w:sz w:val="28"/>
          <w:szCs w:val="28"/>
        </w:rPr>
      </w:pPr>
      <w:r w:rsidRPr="00E320E5">
        <w:rPr>
          <w:rFonts w:ascii="Times New Roman" w:hAnsi="Times New Roman" w:cs="Times New Roman"/>
          <w:sz w:val="28"/>
          <w:szCs w:val="28"/>
        </w:rPr>
        <w:t>Nuôi con bằng sữa mẹ làm giảm tỷ lệ mắc bệnh và tử vong do tiêu chảy ở trẻ sơ sinh, đồng thời giảm mức độ nặng của các đợt tiêu chảy.</w:t>
      </w:r>
    </w:p>
    <w:p w14:paraId="4ECB90E6" w14:textId="2CB26F1D" w:rsidR="00E320E5" w:rsidRDefault="00E320E5" w:rsidP="00E320E5">
      <w:pPr>
        <w:pStyle w:val="ListParagraph"/>
        <w:numPr>
          <w:ilvl w:val="0"/>
          <w:numId w:val="22"/>
        </w:numPr>
        <w:spacing w:after="0" w:line="240" w:lineRule="auto"/>
        <w:ind w:left="360"/>
        <w:rPr>
          <w:rFonts w:ascii="Times New Roman" w:hAnsi="Times New Roman" w:cs="Times New Roman"/>
          <w:sz w:val="28"/>
          <w:szCs w:val="28"/>
        </w:rPr>
      </w:pPr>
      <w:r w:rsidRPr="00E320E5">
        <w:rPr>
          <w:rFonts w:ascii="Times New Roman" w:hAnsi="Times New Roman" w:cs="Times New Roman"/>
          <w:sz w:val="28"/>
          <w:szCs w:val="28"/>
        </w:rPr>
        <w:t>Khi trẻ bắt đầu cai sữa, việc chuẩn bị và bảo quản thức ăn có nguy cơ bị nhiễm vi sinh vật từ phân: không nên cho bú bình; thức ăn phải được nấu chín kỹ; sữa hoặc cháo tuyệt đối không được để ở nhiệt độ phòng.</w:t>
      </w:r>
    </w:p>
    <w:p w14:paraId="56CDAD2C" w14:textId="1098D9D0" w:rsidR="00E320E5" w:rsidRDefault="00390FF8" w:rsidP="00E320E5">
      <w:pPr>
        <w:pStyle w:val="ListParagraph"/>
        <w:numPr>
          <w:ilvl w:val="0"/>
          <w:numId w:val="2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Đảm bảo</w:t>
      </w:r>
      <w:r w:rsidR="00F97C89" w:rsidRPr="00F97C89">
        <w:rPr>
          <w:rFonts w:ascii="Times New Roman" w:hAnsi="Times New Roman" w:cs="Times New Roman"/>
          <w:sz w:val="28"/>
          <w:szCs w:val="28"/>
        </w:rPr>
        <w:t xml:space="preserve"> đủ lượng nước sạch và thực hành vệ sinh cá nhân (rửa tay bằng xà phòng và nước trước khi chế biến thức ăn, trước khi ăn, sau khi đi tiêu...) là những biện pháp hiệu quả để giảm lây lan bệnh tiêu chảy.</w:t>
      </w:r>
    </w:p>
    <w:p w14:paraId="297B2C18" w14:textId="710E8319" w:rsidR="00DD5BAC" w:rsidRDefault="00F97C89" w:rsidP="00DD5BAC">
      <w:pPr>
        <w:pStyle w:val="ListParagraph"/>
        <w:numPr>
          <w:ilvl w:val="0"/>
          <w:numId w:val="22"/>
        </w:numPr>
        <w:spacing w:after="0" w:line="240" w:lineRule="auto"/>
        <w:ind w:left="360"/>
        <w:rPr>
          <w:rFonts w:ascii="Times New Roman" w:hAnsi="Times New Roman" w:cs="Times New Roman"/>
          <w:sz w:val="28"/>
          <w:szCs w:val="28"/>
        </w:rPr>
      </w:pPr>
      <w:r w:rsidRPr="00F97C89">
        <w:rPr>
          <w:rFonts w:ascii="Times New Roman" w:hAnsi="Times New Roman" w:cs="Times New Roman"/>
          <w:sz w:val="28"/>
          <w:szCs w:val="28"/>
        </w:rPr>
        <w:t>Ở các quốc gia có tỷ lệ tử vong do tiêu chảy do rotavirus cao, WHO khuyến cáo tiêm chủng rotavirus thường quy cho trẻ em từ 6 tuần đến 24 tháng tuổi.</w:t>
      </w:r>
    </w:p>
    <w:p w14:paraId="2018449E" w14:textId="77777777" w:rsidR="00766024" w:rsidRDefault="00766024" w:rsidP="00766024">
      <w:pPr>
        <w:spacing w:after="0" w:line="240" w:lineRule="auto"/>
        <w:rPr>
          <w:rFonts w:ascii="Times New Roman" w:hAnsi="Times New Roman" w:cs="Times New Roman"/>
          <w:sz w:val="28"/>
          <w:szCs w:val="28"/>
        </w:rPr>
      </w:pPr>
    </w:p>
    <w:p w14:paraId="5D38139B" w14:textId="3C407F5C" w:rsidR="00152777" w:rsidRPr="003A4731" w:rsidRDefault="00766024" w:rsidP="003A4731">
      <w:pPr>
        <w:rPr>
          <w:rFonts w:ascii="Times New Roman" w:hAnsi="Times New Roman" w:cs="Times New Roman"/>
          <w:sz w:val="28"/>
          <w:szCs w:val="28"/>
        </w:rPr>
      </w:pPr>
      <w:r>
        <w:rPr>
          <w:rFonts w:ascii="Times New Roman" w:hAnsi="Times New Roman" w:cs="Times New Roman"/>
          <w:sz w:val="28"/>
          <w:szCs w:val="28"/>
        </w:rPr>
        <w:br w:type="page"/>
      </w:r>
      <w:r w:rsidR="003A4731">
        <w:rPr>
          <w:rFonts w:ascii="Times New Roman" w:hAnsi="Times New Roman" w:cs="Times New Roman"/>
          <w:sz w:val="28"/>
          <w:szCs w:val="28"/>
        </w:rPr>
        <w:lastRenderedPageBreak/>
        <w:t xml:space="preserve">                                                                </w:t>
      </w:r>
      <w:r w:rsidRPr="00766024">
        <w:rPr>
          <w:rFonts w:ascii="Times New Roman" w:hAnsi="Times New Roman" w:cs="Times New Roman"/>
          <w:b/>
          <w:bCs/>
          <w:sz w:val="28"/>
          <w:szCs w:val="28"/>
        </w:rPr>
        <w:t>SHIGELLA</w:t>
      </w:r>
    </w:p>
    <w:p w14:paraId="037F8954" w14:textId="5C9DA683" w:rsidR="00766024" w:rsidRPr="008001C6" w:rsidRDefault="00766024" w:rsidP="003D1569">
      <w:pPr>
        <w:spacing w:after="0" w:line="480" w:lineRule="auto"/>
        <w:jc w:val="right"/>
        <w:rPr>
          <w:rFonts w:ascii="Times New Roman" w:hAnsi="Times New Roman" w:cs="Times New Roman"/>
          <w:b/>
          <w:sz w:val="28"/>
          <w:szCs w:val="28"/>
        </w:rPr>
      </w:pPr>
      <w:r w:rsidRPr="008001C6">
        <w:rPr>
          <w:rFonts w:ascii="Times New Roman" w:hAnsi="Times New Roman" w:cs="Times New Roman"/>
          <w:b/>
          <w:sz w:val="28"/>
          <w:szCs w:val="28"/>
        </w:rPr>
        <w:t>Người dịch: BS Thành Anh Hoàng</w:t>
      </w:r>
    </w:p>
    <w:p w14:paraId="0286DA63" w14:textId="72DC6A7C" w:rsidR="00766024" w:rsidRDefault="003D1569"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8A1EF2">
        <w:rPr>
          <w:rFonts w:ascii="Times New Roman" w:hAnsi="Times New Roman" w:cs="Times New Roman"/>
          <w:sz w:val="28"/>
          <w:szCs w:val="28"/>
        </w:rPr>
        <w:t>Lỵ trực khuẩn Shigella là bệnh lý nhiễm khuẩn rất dễ lây lan dẫ</w:t>
      </w:r>
      <w:r>
        <w:rPr>
          <w:rFonts w:ascii="Times New Roman" w:hAnsi="Times New Roman" w:cs="Times New Roman"/>
          <w:sz w:val="28"/>
          <w:szCs w:val="28"/>
        </w:rPr>
        <w:t>n</w:t>
      </w:r>
      <w:r w:rsidR="008A1EF2">
        <w:rPr>
          <w:rFonts w:ascii="Times New Roman" w:hAnsi="Times New Roman" w:cs="Times New Roman"/>
          <w:sz w:val="28"/>
          <w:szCs w:val="28"/>
        </w:rPr>
        <w:t xml:space="preserve"> đến tiêu chảy phân máu. Shige</w:t>
      </w:r>
      <w:r w:rsidR="004C75FD">
        <w:rPr>
          <w:rFonts w:ascii="Times New Roman" w:hAnsi="Times New Roman" w:cs="Times New Roman"/>
          <w:sz w:val="28"/>
          <w:szCs w:val="28"/>
        </w:rPr>
        <w:t>l</w:t>
      </w:r>
      <w:r w:rsidR="008A1EF2">
        <w:rPr>
          <w:rFonts w:ascii="Times New Roman" w:hAnsi="Times New Roman" w:cs="Times New Roman"/>
          <w:sz w:val="28"/>
          <w:szCs w:val="28"/>
        </w:rPr>
        <w:t xml:space="preserve">la có 4 týp huyết thanh: </w:t>
      </w:r>
      <w:r w:rsidR="008A1EF2" w:rsidRPr="008A1EF2">
        <w:rPr>
          <w:rFonts w:ascii="Times New Roman" w:hAnsi="Times New Roman" w:cs="Times New Roman"/>
          <w:sz w:val="28"/>
          <w:szCs w:val="28"/>
        </w:rPr>
        <w:t>S. dysenteriae, S. sonnei, S. flexneri, S. boydii.</w:t>
      </w:r>
    </w:p>
    <w:p w14:paraId="3EEC2E87" w14:textId="59FB42C2" w:rsidR="008A1EF2" w:rsidRDefault="003D1569"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8A1EF2">
        <w:rPr>
          <w:rFonts w:ascii="Times New Roman" w:hAnsi="Times New Roman" w:cs="Times New Roman"/>
          <w:sz w:val="28"/>
          <w:szCs w:val="28"/>
        </w:rPr>
        <w:t>T</w:t>
      </w:r>
      <w:r w:rsidR="008A1EF2" w:rsidRPr="008A1EF2">
        <w:rPr>
          <w:rFonts w:ascii="Times New Roman" w:hAnsi="Times New Roman" w:cs="Times New Roman"/>
          <w:sz w:val="28"/>
          <w:szCs w:val="28"/>
        </w:rPr>
        <w:t xml:space="preserve">rong đó, </w:t>
      </w:r>
      <w:r w:rsidR="008A1EF2" w:rsidRPr="0031495F">
        <w:rPr>
          <w:rFonts w:ascii="Times New Roman" w:hAnsi="Times New Roman" w:cs="Times New Roman"/>
          <w:sz w:val="28"/>
          <w:szCs w:val="28"/>
        </w:rPr>
        <w:t>S. dysenteriae type 1 (Sd1)</w:t>
      </w:r>
      <w:r w:rsidR="008A1EF2" w:rsidRPr="008A1EF2">
        <w:rPr>
          <w:rFonts w:ascii="Times New Roman" w:hAnsi="Times New Roman" w:cs="Times New Roman"/>
          <w:sz w:val="28"/>
          <w:szCs w:val="28"/>
        </w:rPr>
        <w:t xml:space="preserve"> là chủng duy nhất có thể gây ra những đợt bùng phát lớn, với tỷ lệ tử vong cao nhất (có thể lên đến 10%).</w:t>
      </w:r>
    </w:p>
    <w:p w14:paraId="6875D36D" w14:textId="50EAD099" w:rsidR="008A1EF2" w:rsidRDefault="003D1569" w:rsidP="008001C6">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8A1EF2">
        <w:rPr>
          <w:rFonts w:ascii="Times New Roman" w:hAnsi="Times New Roman" w:cs="Times New Roman"/>
          <w:sz w:val="28"/>
          <w:szCs w:val="28"/>
        </w:rPr>
        <w:t xml:space="preserve">Những nhóm bệnh nhân có nguy cơ tử vong cao bao gồm: </w:t>
      </w:r>
      <w:r w:rsidR="0031495F">
        <w:rPr>
          <w:rFonts w:ascii="Times New Roman" w:hAnsi="Times New Roman" w:cs="Times New Roman"/>
          <w:sz w:val="28"/>
          <w:szCs w:val="28"/>
        </w:rPr>
        <w:t>trẻ em dưới 5 tuổi, người suy dinh dưỡng, trẻ em sau khi mắc sởi, bệnh nhân trên 50 tuổi.</w:t>
      </w:r>
    </w:p>
    <w:p w14:paraId="537CEC90" w14:textId="64B46952" w:rsidR="00766024" w:rsidRPr="008001C6" w:rsidRDefault="00766024" w:rsidP="008001C6">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Đặc điểm lâm sàng</w:t>
      </w:r>
    </w:p>
    <w:p w14:paraId="4C1C5233" w14:textId="061ECF56" w:rsidR="00766024" w:rsidRDefault="0031495F" w:rsidP="008001C6">
      <w:pPr>
        <w:pStyle w:val="ListParagraph"/>
        <w:numPr>
          <w:ilvl w:val="0"/>
          <w:numId w:val="23"/>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Tiêu chảy kèm máu đỏ tươi trong phân</w:t>
      </w:r>
      <w:r w:rsidR="00306709">
        <w:rPr>
          <w:rFonts w:ascii="Times New Roman" w:hAnsi="Times New Roman" w:cs="Times New Roman"/>
          <w:sz w:val="28"/>
          <w:szCs w:val="28"/>
        </w:rPr>
        <w:t xml:space="preserve"> </w:t>
      </w:r>
      <w:r w:rsidR="00201C97" w:rsidRPr="00201C97">
        <w:rPr>
          <w:rFonts w:ascii="Times New Roman" w:hAnsi="Times New Roman" w:cs="Times New Roman"/>
          <w:sz w:val="28"/>
          <w:szCs w:val="28"/>
          <w:vertAlign w:val="superscript"/>
        </w:rPr>
        <w:t>a</w:t>
      </w:r>
      <w:r>
        <w:rPr>
          <w:rFonts w:ascii="Times New Roman" w:hAnsi="Times New Roman" w:cs="Times New Roman"/>
          <w:sz w:val="28"/>
          <w:szCs w:val="28"/>
        </w:rPr>
        <w:t>, có hoặc không kèm theo sốt.</w:t>
      </w:r>
    </w:p>
    <w:p w14:paraId="78170D05" w14:textId="6EC327C3" w:rsidR="0031495F" w:rsidRDefault="0031495F" w:rsidP="008001C6">
      <w:pPr>
        <w:pStyle w:val="ListParagraph"/>
        <w:numPr>
          <w:ilvl w:val="0"/>
          <w:numId w:val="23"/>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 xml:space="preserve">Đau bụng và </w:t>
      </w:r>
      <w:r w:rsidR="001925F8">
        <w:rPr>
          <w:rFonts w:ascii="Times New Roman" w:hAnsi="Times New Roman" w:cs="Times New Roman"/>
          <w:sz w:val="28"/>
          <w:szCs w:val="28"/>
        </w:rPr>
        <w:t>đau</w:t>
      </w:r>
      <w:r>
        <w:rPr>
          <w:rFonts w:ascii="Times New Roman" w:hAnsi="Times New Roman" w:cs="Times New Roman"/>
          <w:sz w:val="28"/>
          <w:szCs w:val="28"/>
        </w:rPr>
        <w:t xml:space="preserve"> trực tràng.</w:t>
      </w:r>
    </w:p>
    <w:p w14:paraId="27CDE17A" w14:textId="2982CE05" w:rsidR="0031495F" w:rsidRDefault="0031495F" w:rsidP="008001C6">
      <w:pPr>
        <w:pStyle w:val="ListParagraph"/>
        <w:numPr>
          <w:ilvl w:val="0"/>
          <w:numId w:val="23"/>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Dấu hiệu bệnh nặng: sốt &gt; 39 độ C,  mất nước nặng, co giật, thay đổi tri giác.</w:t>
      </w:r>
    </w:p>
    <w:p w14:paraId="3E9973DE" w14:textId="14F14F2C" w:rsidR="0031495F" w:rsidRPr="0031495F" w:rsidRDefault="00E70858" w:rsidP="008001C6">
      <w:pPr>
        <w:pStyle w:val="ListParagraph"/>
        <w:numPr>
          <w:ilvl w:val="0"/>
          <w:numId w:val="23"/>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 xml:space="preserve">Biến chứng (thường gặp hơn đối với Sd1): sốt co giật (5-30% trẻ em), sa trực tràng (3%), nhiễm trùng huyết, tắc ruột hoặc thủng ruột, hội chứng tán huyết - urê máu (HUS) trung bình - nặng. </w:t>
      </w:r>
    </w:p>
    <w:p w14:paraId="53DC1D45" w14:textId="59AE3B00" w:rsidR="00766024" w:rsidRPr="008001C6" w:rsidRDefault="00766024" w:rsidP="008001C6">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Xét nghiệm</w:t>
      </w:r>
    </w:p>
    <w:p w14:paraId="6A1832DE" w14:textId="5E0870E6" w:rsidR="00766024" w:rsidRDefault="00E70858"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Bệnh do Shigella trong bối cảnh dịch bùng phát:</w:t>
      </w:r>
    </w:p>
    <w:p w14:paraId="20B67076" w14:textId="3F23F203" w:rsidR="00E70858" w:rsidRDefault="00E70858" w:rsidP="00E70858">
      <w:pPr>
        <w:pStyle w:val="ListParagraph"/>
        <w:numPr>
          <w:ilvl w:val="0"/>
          <w:numId w:val="24"/>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Xác định tác nhân gây bệnh (cấy phân) và làm kháng sinh đồ.</w:t>
      </w:r>
    </w:p>
    <w:p w14:paraId="102DBCCC" w14:textId="0B2DC3AA" w:rsidR="00E70858" w:rsidRPr="00E70858" w:rsidRDefault="00E70858" w:rsidP="00E70858">
      <w:pPr>
        <w:pStyle w:val="ListParagraph"/>
        <w:numPr>
          <w:ilvl w:val="0"/>
          <w:numId w:val="24"/>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Cấy và làm kháng sinh đồ mỗi tháng (</w:t>
      </w:r>
      <w:r w:rsidR="008656EE">
        <w:rPr>
          <w:rFonts w:ascii="Times New Roman" w:hAnsi="Times New Roman" w:cs="Times New Roman"/>
          <w:sz w:val="28"/>
          <w:szCs w:val="28"/>
        </w:rPr>
        <w:t>sự kháng kháng sinh có thể phát triển nhanh chóng, đôi khi xảy ra trong cùng một đợt bùng phát).</w:t>
      </w:r>
    </w:p>
    <w:p w14:paraId="4D0C8043" w14:textId="459C401D" w:rsidR="00766024" w:rsidRPr="008001C6" w:rsidRDefault="00766024" w:rsidP="008E3FA3">
      <w:pPr>
        <w:spacing w:after="0" w:line="240" w:lineRule="auto"/>
        <w:rPr>
          <w:rFonts w:ascii="Times New Roman" w:hAnsi="Times New Roman" w:cs="Times New Roman"/>
          <w:b/>
          <w:bCs/>
          <w:sz w:val="28"/>
          <w:szCs w:val="28"/>
        </w:rPr>
      </w:pPr>
      <w:r w:rsidRPr="008001C6">
        <w:rPr>
          <w:rFonts w:ascii="Times New Roman" w:hAnsi="Times New Roman" w:cs="Times New Roman"/>
          <w:b/>
          <w:bCs/>
          <w:sz w:val="28"/>
          <w:szCs w:val="28"/>
        </w:rPr>
        <w:t>Điều trị</w:t>
      </w:r>
    </w:p>
    <w:p w14:paraId="41B47309" w14:textId="087EDB77" w:rsidR="00766024" w:rsidRDefault="008656EE" w:rsidP="008656EE">
      <w:pPr>
        <w:pStyle w:val="ListParagraph"/>
        <w:numPr>
          <w:ilvl w:val="0"/>
          <w:numId w:val="25"/>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Bệnh nhân có dấu hiệu bệnh nặng hoặc có yếu tố nguy cơ tử vong cần được nhập viện.</w:t>
      </w:r>
    </w:p>
    <w:p w14:paraId="384D6EAE" w14:textId="05BFF26B" w:rsidR="008656EE" w:rsidRDefault="008656EE" w:rsidP="008656EE">
      <w:pPr>
        <w:pStyle w:val="ListParagraph"/>
        <w:numPr>
          <w:ilvl w:val="0"/>
          <w:numId w:val="25"/>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Bệnh nhân không có dấu hiệu nặng và không có yếu tố nguy cơ tử vong có thể được điều trị ngoại trú.</w:t>
      </w:r>
    </w:p>
    <w:p w14:paraId="32BBEF8F" w14:textId="405CA021" w:rsidR="008656EE" w:rsidRDefault="008656EE" w:rsidP="008656EE">
      <w:pPr>
        <w:pStyle w:val="ListParagraph"/>
        <w:numPr>
          <w:ilvl w:val="0"/>
          <w:numId w:val="25"/>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Kháng sinh:</w:t>
      </w:r>
    </w:p>
    <w:p w14:paraId="5D6CB5CD" w14:textId="77777777" w:rsidR="008E3FA3" w:rsidRDefault="008E3FA3" w:rsidP="008E3FA3">
      <w:pPr>
        <w:pStyle w:val="ListParagraph"/>
        <w:spacing w:after="0" w:line="240" w:lineRule="auto"/>
        <w:ind w:left="27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8656EE" w14:paraId="48AD351F" w14:textId="77777777" w:rsidTr="008E3FA3">
        <w:trPr>
          <w:trHeight w:val="431"/>
        </w:trPr>
        <w:tc>
          <w:tcPr>
            <w:tcW w:w="9350" w:type="dxa"/>
            <w:gridSpan w:val="2"/>
          </w:tcPr>
          <w:p w14:paraId="14C4458F" w14:textId="343A915D" w:rsidR="008656EE" w:rsidRPr="009466AC" w:rsidRDefault="008656EE" w:rsidP="008656EE">
            <w:pPr>
              <w:jc w:val="center"/>
              <w:rPr>
                <w:rFonts w:ascii="Times New Roman" w:hAnsi="Times New Roman" w:cs="Times New Roman"/>
                <w:b/>
                <w:bCs/>
                <w:sz w:val="28"/>
                <w:szCs w:val="28"/>
              </w:rPr>
            </w:pPr>
            <w:r w:rsidRPr="009466AC">
              <w:rPr>
                <w:rFonts w:ascii="Times New Roman" w:hAnsi="Times New Roman" w:cs="Times New Roman"/>
                <w:b/>
                <w:bCs/>
                <w:sz w:val="28"/>
                <w:szCs w:val="28"/>
              </w:rPr>
              <w:t>Điều trị đầu tay</w:t>
            </w:r>
          </w:p>
        </w:tc>
      </w:tr>
      <w:tr w:rsidR="008656EE" w14:paraId="3386A708" w14:textId="77777777" w:rsidTr="008656EE">
        <w:tc>
          <w:tcPr>
            <w:tcW w:w="4675" w:type="dxa"/>
          </w:tcPr>
          <w:p w14:paraId="0D973457" w14:textId="77777777" w:rsidR="008656EE" w:rsidRDefault="008656EE" w:rsidP="008656EE">
            <w:pPr>
              <w:rPr>
                <w:rFonts w:ascii="Times New Roman" w:hAnsi="Times New Roman" w:cs="Times New Roman"/>
                <w:sz w:val="28"/>
                <w:szCs w:val="28"/>
              </w:rPr>
            </w:pPr>
            <w:r w:rsidRPr="008656EE">
              <w:rPr>
                <w:rFonts w:ascii="Times New Roman" w:hAnsi="Times New Roman" w:cs="Times New Roman"/>
                <w:b/>
                <w:bCs/>
                <w:sz w:val="28"/>
                <w:szCs w:val="28"/>
              </w:rPr>
              <w:t>Ciprofloxacin</w:t>
            </w:r>
            <w:r>
              <w:rPr>
                <w:rFonts w:ascii="Times New Roman" w:hAnsi="Times New Roman" w:cs="Times New Roman"/>
                <w:sz w:val="28"/>
                <w:szCs w:val="28"/>
              </w:rPr>
              <w:t xml:space="preserve"> đường uống trong 3 ngày.</w:t>
            </w:r>
          </w:p>
          <w:p w14:paraId="4A4DA448" w14:textId="77777777" w:rsidR="008656EE" w:rsidRDefault="008656EE" w:rsidP="008656EE">
            <w:pPr>
              <w:rPr>
                <w:rFonts w:ascii="Times New Roman" w:hAnsi="Times New Roman" w:cs="Times New Roman"/>
                <w:sz w:val="28"/>
                <w:szCs w:val="28"/>
              </w:rPr>
            </w:pPr>
            <w:r>
              <w:rPr>
                <w:rFonts w:ascii="Times New Roman" w:hAnsi="Times New Roman" w:cs="Times New Roman"/>
                <w:sz w:val="28"/>
                <w:szCs w:val="28"/>
              </w:rPr>
              <w:t>Trẻ em: 15mg/kg x 2 lần/ngày.</w:t>
            </w:r>
          </w:p>
          <w:p w14:paraId="63B1922A" w14:textId="0CBB3892" w:rsidR="008656EE" w:rsidRDefault="008656EE" w:rsidP="008656EE">
            <w:pPr>
              <w:rPr>
                <w:rFonts w:ascii="Times New Roman" w:hAnsi="Times New Roman" w:cs="Times New Roman"/>
                <w:sz w:val="28"/>
                <w:szCs w:val="28"/>
              </w:rPr>
            </w:pPr>
            <w:r>
              <w:rPr>
                <w:rFonts w:ascii="Times New Roman" w:hAnsi="Times New Roman" w:cs="Times New Roman"/>
                <w:sz w:val="28"/>
                <w:szCs w:val="28"/>
              </w:rPr>
              <w:t>(tối đa</w:t>
            </w:r>
            <w:r w:rsidR="00EF21A6">
              <w:rPr>
                <w:rFonts w:ascii="Times New Roman" w:hAnsi="Times New Roman" w:cs="Times New Roman"/>
                <w:sz w:val="28"/>
                <w:szCs w:val="28"/>
              </w:rPr>
              <w:t xml:space="preserve"> 1g/ngày).</w:t>
            </w:r>
          </w:p>
          <w:p w14:paraId="37DBCC9D" w14:textId="3FB137EC" w:rsidR="00EF21A6" w:rsidRDefault="00EF21A6" w:rsidP="008656EE">
            <w:pPr>
              <w:rPr>
                <w:rFonts w:ascii="Times New Roman" w:hAnsi="Times New Roman" w:cs="Times New Roman"/>
                <w:sz w:val="28"/>
                <w:szCs w:val="28"/>
              </w:rPr>
            </w:pPr>
            <w:r>
              <w:rPr>
                <w:rFonts w:ascii="Times New Roman" w:hAnsi="Times New Roman" w:cs="Times New Roman"/>
                <w:sz w:val="28"/>
                <w:szCs w:val="28"/>
              </w:rPr>
              <w:t>Người lớn: 500mg x 2 lần/ngày.</w:t>
            </w:r>
          </w:p>
        </w:tc>
        <w:tc>
          <w:tcPr>
            <w:tcW w:w="4675" w:type="dxa"/>
          </w:tcPr>
          <w:p w14:paraId="2B74CB2F" w14:textId="77777777" w:rsidR="008656EE" w:rsidRDefault="00FF6D1B" w:rsidP="00FF6D1B">
            <w:pPr>
              <w:pStyle w:val="ListParagraph"/>
              <w:numPr>
                <w:ilvl w:val="0"/>
                <w:numId w:val="26"/>
              </w:numPr>
              <w:rPr>
                <w:rFonts w:ascii="Times New Roman" w:hAnsi="Times New Roman" w:cs="Times New Roman"/>
                <w:sz w:val="28"/>
                <w:szCs w:val="28"/>
              </w:rPr>
            </w:pPr>
            <w:r>
              <w:rPr>
                <w:rFonts w:ascii="Times New Roman" w:hAnsi="Times New Roman" w:cs="Times New Roman"/>
                <w:sz w:val="28"/>
                <w:szCs w:val="28"/>
              </w:rPr>
              <w:t>Nếu chủng vi khuẩn nhạy.</w:t>
            </w:r>
          </w:p>
          <w:p w14:paraId="6F08E406" w14:textId="77777777" w:rsidR="00FF6D1B" w:rsidRDefault="00FF6D1B" w:rsidP="00FF6D1B">
            <w:pPr>
              <w:pStyle w:val="ListParagraph"/>
              <w:numPr>
                <w:ilvl w:val="0"/>
                <w:numId w:val="26"/>
              </w:numPr>
              <w:rPr>
                <w:rFonts w:ascii="Times New Roman" w:hAnsi="Times New Roman" w:cs="Times New Roman"/>
                <w:sz w:val="28"/>
                <w:szCs w:val="28"/>
              </w:rPr>
            </w:pPr>
            <w:r>
              <w:rPr>
                <w:rFonts w:ascii="Times New Roman" w:hAnsi="Times New Roman" w:cs="Times New Roman"/>
                <w:sz w:val="28"/>
                <w:szCs w:val="28"/>
              </w:rPr>
              <w:t>Nếu không có kháng sinh đồ.</w:t>
            </w:r>
          </w:p>
          <w:p w14:paraId="06458186" w14:textId="431CEA38" w:rsidR="00FF6D1B" w:rsidRPr="00FF6D1B" w:rsidRDefault="00FF6D1B" w:rsidP="00FF6D1B">
            <w:pPr>
              <w:pStyle w:val="ListParagraph"/>
              <w:numPr>
                <w:ilvl w:val="0"/>
                <w:numId w:val="26"/>
              </w:numPr>
              <w:rPr>
                <w:rFonts w:ascii="Times New Roman" w:hAnsi="Times New Roman" w:cs="Times New Roman"/>
                <w:sz w:val="28"/>
                <w:szCs w:val="28"/>
              </w:rPr>
            </w:pPr>
            <w:r>
              <w:rPr>
                <w:rFonts w:ascii="Times New Roman" w:hAnsi="Times New Roman" w:cs="Times New Roman"/>
                <w:sz w:val="28"/>
                <w:szCs w:val="28"/>
              </w:rPr>
              <w:t>Nếu bệnh nhân uống được.</w:t>
            </w:r>
          </w:p>
        </w:tc>
      </w:tr>
      <w:tr w:rsidR="008656EE" w14:paraId="5B418A73" w14:textId="77777777" w:rsidTr="008656EE">
        <w:tc>
          <w:tcPr>
            <w:tcW w:w="4675" w:type="dxa"/>
          </w:tcPr>
          <w:p w14:paraId="2FD2BB06" w14:textId="77777777" w:rsidR="008656EE" w:rsidRDefault="00D3137B" w:rsidP="008656EE">
            <w:pPr>
              <w:rPr>
                <w:rFonts w:ascii="Times New Roman" w:hAnsi="Times New Roman" w:cs="Times New Roman"/>
                <w:sz w:val="28"/>
                <w:szCs w:val="28"/>
              </w:rPr>
            </w:pPr>
            <w:r>
              <w:rPr>
                <w:rFonts w:ascii="Times New Roman" w:hAnsi="Times New Roman" w:cs="Times New Roman"/>
                <w:b/>
                <w:bCs/>
                <w:sz w:val="28"/>
                <w:szCs w:val="28"/>
              </w:rPr>
              <w:t xml:space="preserve">Ceftriaxone </w:t>
            </w:r>
            <w:r>
              <w:rPr>
                <w:rFonts w:ascii="Times New Roman" w:hAnsi="Times New Roman" w:cs="Times New Roman"/>
                <w:sz w:val="28"/>
                <w:szCs w:val="28"/>
              </w:rPr>
              <w:t>tiêm bắp 3 ngày.</w:t>
            </w:r>
          </w:p>
          <w:p w14:paraId="59FC8AD1" w14:textId="77777777" w:rsidR="00D3137B" w:rsidRDefault="00D3137B" w:rsidP="008656EE">
            <w:pPr>
              <w:rPr>
                <w:rFonts w:ascii="Times New Roman" w:hAnsi="Times New Roman" w:cs="Times New Roman"/>
                <w:sz w:val="28"/>
                <w:szCs w:val="28"/>
              </w:rPr>
            </w:pPr>
            <w:r>
              <w:rPr>
                <w:rFonts w:ascii="Times New Roman" w:hAnsi="Times New Roman" w:cs="Times New Roman"/>
                <w:sz w:val="28"/>
                <w:szCs w:val="28"/>
              </w:rPr>
              <w:t>Trẻ em: 50-100mg/kg x 1 lần/ngày</w:t>
            </w:r>
          </w:p>
          <w:p w14:paraId="724FDC2E" w14:textId="77777777" w:rsidR="00D3137B" w:rsidRDefault="00D3137B" w:rsidP="008656EE">
            <w:pPr>
              <w:rPr>
                <w:rFonts w:ascii="Times New Roman" w:hAnsi="Times New Roman" w:cs="Times New Roman"/>
                <w:sz w:val="28"/>
                <w:szCs w:val="28"/>
              </w:rPr>
            </w:pPr>
            <w:r>
              <w:rPr>
                <w:rFonts w:ascii="Times New Roman" w:hAnsi="Times New Roman" w:cs="Times New Roman"/>
                <w:sz w:val="28"/>
                <w:szCs w:val="28"/>
              </w:rPr>
              <w:t>(tối đa 1g/ngày)</w:t>
            </w:r>
          </w:p>
          <w:p w14:paraId="4FC29DF8" w14:textId="0122ADAC" w:rsidR="00D3137B" w:rsidRPr="00D3137B" w:rsidRDefault="00D3137B" w:rsidP="008656EE">
            <w:pPr>
              <w:rPr>
                <w:rFonts w:ascii="Times New Roman" w:hAnsi="Times New Roman" w:cs="Times New Roman"/>
                <w:sz w:val="28"/>
                <w:szCs w:val="28"/>
              </w:rPr>
            </w:pPr>
            <w:r>
              <w:rPr>
                <w:rFonts w:ascii="Times New Roman" w:hAnsi="Times New Roman" w:cs="Times New Roman"/>
                <w:sz w:val="28"/>
                <w:szCs w:val="28"/>
              </w:rPr>
              <w:lastRenderedPageBreak/>
              <w:t>Người lớn: 1-2g x 1 lần/ngày.</w:t>
            </w:r>
          </w:p>
        </w:tc>
        <w:tc>
          <w:tcPr>
            <w:tcW w:w="4675" w:type="dxa"/>
          </w:tcPr>
          <w:p w14:paraId="531A9952" w14:textId="77777777" w:rsidR="008656EE" w:rsidRDefault="00FF6D1B" w:rsidP="00FF6D1B">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lastRenderedPageBreak/>
              <w:t>Bệnh nhân nhiễm trùng nặng và/hoặc không uống được</w:t>
            </w:r>
          </w:p>
          <w:p w14:paraId="7833188B" w14:textId="38B35C5D" w:rsidR="00FF6D1B" w:rsidRPr="00FF6D1B" w:rsidRDefault="00FF6D1B" w:rsidP="00FF6D1B">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Phụ nữ mang thai</w:t>
            </w:r>
            <w:r w:rsidR="00201C97" w:rsidRPr="00201C97">
              <w:rPr>
                <w:rFonts w:ascii="Times New Roman" w:hAnsi="Times New Roman" w:cs="Times New Roman"/>
                <w:sz w:val="28"/>
                <w:szCs w:val="28"/>
                <w:vertAlign w:val="superscript"/>
              </w:rPr>
              <w:t>b</w:t>
            </w:r>
            <w:r>
              <w:rPr>
                <w:rFonts w:ascii="Times New Roman" w:hAnsi="Times New Roman" w:cs="Times New Roman"/>
                <w:sz w:val="28"/>
                <w:szCs w:val="28"/>
              </w:rPr>
              <w:t>.</w:t>
            </w:r>
          </w:p>
        </w:tc>
      </w:tr>
    </w:tbl>
    <w:p w14:paraId="5F9C15D1" w14:textId="77777777" w:rsidR="008656EE" w:rsidRDefault="008656EE" w:rsidP="008656EE">
      <w:pPr>
        <w:spacing w:after="0" w:line="240" w:lineRule="auto"/>
        <w:rPr>
          <w:rFonts w:ascii="Times New Roman" w:hAnsi="Times New Roman" w:cs="Times New Roman"/>
          <w:sz w:val="28"/>
          <w:szCs w:val="28"/>
        </w:rPr>
      </w:pPr>
    </w:p>
    <w:p w14:paraId="7083691B" w14:textId="3BF10D14" w:rsidR="008656EE" w:rsidRDefault="00451798" w:rsidP="008656EE">
      <w:pPr>
        <w:spacing w:after="0" w:line="240" w:lineRule="auto"/>
        <w:rPr>
          <w:rFonts w:ascii="Times New Roman" w:hAnsi="Times New Roman" w:cs="Times New Roman"/>
          <w:sz w:val="28"/>
          <w:szCs w:val="28"/>
        </w:rPr>
      </w:pPr>
      <w:r>
        <w:rPr>
          <w:rFonts w:ascii="Times New Roman" w:hAnsi="Times New Roman" w:cs="Times New Roman"/>
          <w:sz w:val="28"/>
          <w:szCs w:val="28"/>
        </w:rPr>
        <w:t>Nếu kháng thuốc hoặc chống chỉ định với Ciprofloxacin, hoặc bệnh nhân không cải thiện sau 48 giờ kể từ khi bắt đầu thuốc điều trị đầu tay</w:t>
      </w:r>
      <w:r w:rsidR="006F352D">
        <w:rPr>
          <w:rFonts w:ascii="Times New Roman" w:hAnsi="Times New Roman" w:cs="Times New Roman"/>
          <w:sz w:val="28"/>
          <w:szCs w:val="28"/>
        </w:rPr>
        <w:t>:</w:t>
      </w:r>
    </w:p>
    <w:p w14:paraId="02413A5E" w14:textId="6B64B581" w:rsidR="006F352D" w:rsidRDefault="006F352D" w:rsidP="008656EE">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Azithromycin </w:t>
      </w:r>
      <w:r>
        <w:rPr>
          <w:rFonts w:ascii="Times New Roman" w:hAnsi="Times New Roman" w:cs="Times New Roman"/>
          <w:sz w:val="28"/>
          <w:szCs w:val="28"/>
        </w:rPr>
        <w:t>đường uống trong 5 ngày</w:t>
      </w:r>
    </w:p>
    <w:p w14:paraId="6DAF0411" w14:textId="3C0E4630" w:rsidR="006F352D" w:rsidRDefault="006F352D" w:rsidP="008656EE">
      <w:pPr>
        <w:spacing w:after="0" w:line="240" w:lineRule="auto"/>
        <w:rPr>
          <w:rFonts w:ascii="Times New Roman" w:hAnsi="Times New Roman" w:cs="Times New Roman"/>
          <w:sz w:val="28"/>
          <w:szCs w:val="28"/>
        </w:rPr>
      </w:pPr>
      <w:r>
        <w:rPr>
          <w:rFonts w:ascii="Times New Roman" w:hAnsi="Times New Roman" w:cs="Times New Roman"/>
          <w:sz w:val="28"/>
          <w:szCs w:val="28"/>
        </w:rPr>
        <w:t>Trẻ em: Ngày đầu 12mg/kg, sau đó 6mg/kg từ ngày 2 đến ngày 5.</w:t>
      </w:r>
    </w:p>
    <w:p w14:paraId="5C3E3B0F" w14:textId="2E874FA4" w:rsidR="00EF3BE8" w:rsidRDefault="006F352D" w:rsidP="008656EE">
      <w:pPr>
        <w:spacing w:after="0" w:line="240" w:lineRule="auto"/>
        <w:rPr>
          <w:rFonts w:ascii="Times New Roman" w:hAnsi="Times New Roman" w:cs="Times New Roman"/>
          <w:sz w:val="28"/>
          <w:szCs w:val="28"/>
        </w:rPr>
      </w:pPr>
      <w:r>
        <w:rPr>
          <w:rFonts w:ascii="Times New Roman" w:hAnsi="Times New Roman" w:cs="Times New Roman"/>
          <w:sz w:val="28"/>
          <w:szCs w:val="28"/>
        </w:rPr>
        <w:t>Người lớn: Ngày đầu 500mg, sau đó 250mg từ ngày 2 đến ngày 5.</w:t>
      </w:r>
    </w:p>
    <w:p w14:paraId="10FA4D74" w14:textId="65EA020B" w:rsidR="00EF3BE8" w:rsidRDefault="00EF3BE8" w:rsidP="008656EE">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Cefixime </w:t>
      </w:r>
      <w:r>
        <w:rPr>
          <w:rFonts w:ascii="Times New Roman" w:hAnsi="Times New Roman" w:cs="Times New Roman"/>
          <w:sz w:val="28"/>
          <w:szCs w:val="28"/>
        </w:rPr>
        <w:t>đường uống trong 5 ngày.</w:t>
      </w:r>
    </w:p>
    <w:p w14:paraId="5FD09243" w14:textId="7DB8D75A" w:rsidR="00EF3BE8" w:rsidRDefault="00EF3BE8" w:rsidP="008656EE">
      <w:pPr>
        <w:spacing w:after="0" w:line="240" w:lineRule="auto"/>
        <w:rPr>
          <w:rFonts w:ascii="Times New Roman" w:hAnsi="Times New Roman" w:cs="Times New Roman"/>
          <w:sz w:val="28"/>
          <w:szCs w:val="28"/>
        </w:rPr>
      </w:pPr>
      <w:r>
        <w:rPr>
          <w:rFonts w:ascii="Times New Roman" w:hAnsi="Times New Roman" w:cs="Times New Roman"/>
          <w:sz w:val="28"/>
          <w:szCs w:val="28"/>
        </w:rPr>
        <w:t>Trẻ em: 8mg/kg x 1 lần/ngày (tối đa 400mg/ngày)</w:t>
      </w:r>
    </w:p>
    <w:p w14:paraId="698495D1" w14:textId="18071C13" w:rsidR="00EF3BE8" w:rsidRDefault="00EF3BE8" w:rsidP="008656EE">
      <w:pPr>
        <w:spacing w:after="0" w:line="240" w:lineRule="auto"/>
        <w:rPr>
          <w:rFonts w:ascii="Times New Roman" w:hAnsi="Times New Roman" w:cs="Times New Roman"/>
          <w:sz w:val="28"/>
          <w:szCs w:val="28"/>
        </w:rPr>
      </w:pPr>
      <w:r>
        <w:rPr>
          <w:rFonts w:ascii="Times New Roman" w:hAnsi="Times New Roman" w:cs="Times New Roman"/>
          <w:sz w:val="28"/>
          <w:szCs w:val="28"/>
        </w:rPr>
        <w:t>Người lớn: 400mg x 1 lần/ngày.</w:t>
      </w:r>
    </w:p>
    <w:p w14:paraId="3265DC5D" w14:textId="63CCC20B" w:rsidR="00EF3BE8" w:rsidRDefault="00EF3BE8" w:rsidP="008E3FA3">
      <w:pPr>
        <w:spacing w:after="0" w:line="240" w:lineRule="auto"/>
        <w:rPr>
          <w:rFonts w:ascii="Times New Roman" w:hAnsi="Times New Roman" w:cs="Times New Roman"/>
          <w:sz w:val="28"/>
          <w:szCs w:val="28"/>
        </w:rPr>
      </w:pPr>
      <w:r>
        <w:rPr>
          <w:rFonts w:ascii="Times New Roman" w:hAnsi="Times New Roman" w:cs="Times New Roman"/>
          <w:sz w:val="28"/>
          <w:szCs w:val="28"/>
        </w:rPr>
        <w:t>Nếu không cải thiện sau 48 giờ sau khi bắt đầu thuốc hàng thứ hai, cân nhắc điều trị lỵ amíp.</w:t>
      </w:r>
    </w:p>
    <w:p w14:paraId="0EAD7FCE" w14:textId="621EE87F" w:rsidR="009772F2" w:rsidRDefault="009772F2" w:rsidP="009772F2">
      <w:pPr>
        <w:pStyle w:val="ListParagraph"/>
        <w:numPr>
          <w:ilvl w:val="0"/>
          <w:numId w:val="28"/>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Giảm đau, hạ sốt:</w:t>
      </w:r>
    </w:p>
    <w:p w14:paraId="24E72B6D" w14:textId="35EAE7EA" w:rsidR="009772F2" w:rsidRDefault="009772F2" w:rsidP="009772F2">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Paracetamol </w:t>
      </w:r>
      <w:r>
        <w:rPr>
          <w:rFonts w:ascii="Times New Roman" w:hAnsi="Times New Roman" w:cs="Times New Roman"/>
          <w:sz w:val="28"/>
          <w:szCs w:val="28"/>
        </w:rPr>
        <w:t xml:space="preserve">uống. </w:t>
      </w:r>
    </w:p>
    <w:p w14:paraId="36104B20" w14:textId="413D023A" w:rsidR="00A43461" w:rsidRDefault="00A43461" w:rsidP="009772F2">
      <w:pPr>
        <w:spacing w:after="0" w:line="240" w:lineRule="auto"/>
        <w:rPr>
          <w:rFonts w:ascii="Times New Roman" w:hAnsi="Times New Roman" w:cs="Times New Roman"/>
          <w:sz w:val="28"/>
          <w:szCs w:val="28"/>
        </w:rPr>
      </w:pPr>
      <w:r>
        <w:rPr>
          <w:rFonts w:ascii="Times New Roman" w:hAnsi="Times New Roman" w:cs="Times New Roman"/>
          <w:sz w:val="28"/>
          <w:szCs w:val="28"/>
        </w:rPr>
        <w:t>Tất cả thuốc giảm đau opioid đều chống chỉ định vì chúng làm giảm nhu động ruột.</w:t>
      </w:r>
    </w:p>
    <w:p w14:paraId="7CFBE8BD" w14:textId="4D31EC9A" w:rsidR="00A43461" w:rsidRDefault="00A43461" w:rsidP="00A43461">
      <w:pPr>
        <w:pStyle w:val="ListParagraph"/>
        <w:numPr>
          <w:ilvl w:val="0"/>
          <w:numId w:val="28"/>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Điều trị hỗ trợ:</w:t>
      </w:r>
    </w:p>
    <w:p w14:paraId="5AB9F453" w14:textId="6A8FBE04" w:rsidR="00A43461" w:rsidRDefault="00A43461" w:rsidP="00A43461">
      <w:pPr>
        <w:pStyle w:val="ListParagraph"/>
        <w:numPr>
          <w:ilvl w:val="1"/>
          <w:numId w:val="30"/>
        </w:numPr>
        <w:spacing w:after="0" w:line="240" w:lineRule="auto"/>
        <w:rPr>
          <w:rFonts w:ascii="Times New Roman" w:hAnsi="Times New Roman" w:cs="Times New Roman"/>
          <w:sz w:val="28"/>
          <w:szCs w:val="28"/>
        </w:rPr>
      </w:pPr>
      <w:r>
        <w:rPr>
          <w:rFonts w:ascii="Times New Roman" w:hAnsi="Times New Roman" w:cs="Times New Roman"/>
          <w:sz w:val="28"/>
          <w:szCs w:val="28"/>
        </w:rPr>
        <w:t>Dinh dưỡng: bổ sung dinh dưỡng bằng ăn nhiều bữa nhỏ.</w:t>
      </w:r>
    </w:p>
    <w:p w14:paraId="0E0F8FBF" w14:textId="4661DD25" w:rsidR="00A43461" w:rsidRDefault="00A43461" w:rsidP="00A43461">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+ 2500 kcal mỗi ngày trong thời gian nằm viện.</w:t>
      </w:r>
    </w:p>
    <w:p w14:paraId="11BE1217" w14:textId="5B72A7A7" w:rsidR="00A43461" w:rsidRPr="00A43461" w:rsidRDefault="00A43461" w:rsidP="00A43461">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+ 1000 kcal mỗi ngày cho bệnh nhân ngoại trú.</w:t>
      </w:r>
    </w:p>
    <w:p w14:paraId="08B210BC" w14:textId="56F3DCEC" w:rsidR="00A43461" w:rsidRDefault="00A43461" w:rsidP="00A43461">
      <w:pPr>
        <w:pStyle w:val="ListParagraph"/>
        <w:numPr>
          <w:ilvl w:val="1"/>
          <w:numId w:val="30"/>
        </w:numPr>
        <w:spacing w:after="0" w:line="240" w:lineRule="auto"/>
        <w:rPr>
          <w:rFonts w:ascii="Times New Roman" w:hAnsi="Times New Roman" w:cs="Times New Roman"/>
          <w:sz w:val="28"/>
          <w:szCs w:val="28"/>
        </w:rPr>
      </w:pPr>
      <w:r>
        <w:rPr>
          <w:rFonts w:ascii="Times New Roman" w:hAnsi="Times New Roman" w:cs="Times New Roman"/>
          <w:sz w:val="28"/>
          <w:szCs w:val="28"/>
        </w:rPr>
        <w:t>Bù nước: dùng Oresol theo phác đồ của WHO (xem Mất nước, Chương 1).</w:t>
      </w:r>
    </w:p>
    <w:p w14:paraId="16C8AF2C" w14:textId="64B0EC9A" w:rsidR="00A43461" w:rsidRPr="00A43461" w:rsidRDefault="00A43461" w:rsidP="00A43461">
      <w:pPr>
        <w:pStyle w:val="ListParagraph"/>
        <w:numPr>
          <w:ilvl w:val="1"/>
          <w:numId w:val="30"/>
        </w:numPr>
        <w:spacing w:after="0" w:line="240" w:lineRule="auto"/>
        <w:rPr>
          <w:rFonts w:ascii="Times New Roman" w:hAnsi="Times New Roman" w:cs="Times New Roman"/>
          <w:sz w:val="28"/>
          <w:szCs w:val="28"/>
        </w:rPr>
      </w:pPr>
      <w:r>
        <w:rPr>
          <w:rFonts w:ascii="Times New Roman" w:hAnsi="Times New Roman" w:cs="Times New Roman"/>
          <w:sz w:val="28"/>
          <w:szCs w:val="28"/>
        </w:rPr>
        <w:t>Bổ sung kẽm ở trẻ dưới 5 tuổi.</w:t>
      </w:r>
    </w:p>
    <w:p w14:paraId="3E45DCB2" w14:textId="426417BF" w:rsidR="008656EE" w:rsidRDefault="00A43461" w:rsidP="00A43461">
      <w:pPr>
        <w:pStyle w:val="ListParagraph"/>
        <w:numPr>
          <w:ilvl w:val="0"/>
          <w:numId w:val="31"/>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Không dùng Loperamide hoặc bất kỳ thuốc cầm tiêu chảy.</w:t>
      </w:r>
    </w:p>
    <w:p w14:paraId="519630C2" w14:textId="5D4DEB11" w:rsidR="00A43461" w:rsidRPr="00A43461" w:rsidRDefault="00092CD3" w:rsidP="00A43461">
      <w:pPr>
        <w:pStyle w:val="ListParagraph"/>
        <w:numPr>
          <w:ilvl w:val="0"/>
          <w:numId w:val="31"/>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Quản lý biến chứng: điều chỉnh sa trực tràng, điều trị nhiễm trùng huyết (xem Sốc nhiễm khuẩn, Chương 1),…</w:t>
      </w:r>
    </w:p>
    <w:p w14:paraId="29D65986" w14:textId="790AF3D3" w:rsidR="00766024" w:rsidRPr="00766024" w:rsidRDefault="00766024" w:rsidP="00152777">
      <w:pPr>
        <w:spacing w:after="0" w:line="240" w:lineRule="auto"/>
        <w:rPr>
          <w:rFonts w:ascii="Times New Roman" w:hAnsi="Times New Roman" w:cs="Times New Roman"/>
          <w:b/>
          <w:bCs/>
          <w:sz w:val="28"/>
          <w:szCs w:val="28"/>
        </w:rPr>
      </w:pPr>
      <w:r w:rsidRPr="00766024">
        <w:rPr>
          <w:rFonts w:ascii="Times New Roman" w:hAnsi="Times New Roman" w:cs="Times New Roman"/>
          <w:b/>
          <w:bCs/>
          <w:sz w:val="28"/>
          <w:szCs w:val="28"/>
        </w:rPr>
        <w:t>Shigella trong bối cảnh dịch</w:t>
      </w:r>
    </w:p>
    <w:p w14:paraId="4B551C57" w14:textId="668D4CBA" w:rsidR="00152777" w:rsidRDefault="00B53ABA" w:rsidP="00B53ABA">
      <w:pPr>
        <w:pStyle w:val="ListParagraph"/>
        <w:numPr>
          <w:ilvl w:val="0"/>
          <w:numId w:val="32"/>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Cách ly bệnh nhân nội trú, trẻ em điều trị ngoại trú cần cho nghỉ học.</w:t>
      </w:r>
    </w:p>
    <w:p w14:paraId="10C053EB" w14:textId="5B87D0A0" w:rsidR="00B53ABA" w:rsidRDefault="00B53ABA" w:rsidP="00B53ABA">
      <w:pPr>
        <w:pStyle w:val="ListParagraph"/>
        <w:numPr>
          <w:ilvl w:val="0"/>
          <w:numId w:val="32"/>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Giữ vệ sinh (rửa tay, chế biến và bảo quản thực phẩm hợp vệ sinh, vệ sinh nơi ở …).</w:t>
      </w:r>
    </w:p>
    <w:p w14:paraId="69BE2D4A" w14:textId="60426FE3" w:rsidR="00D128C9" w:rsidRPr="00B53ABA" w:rsidRDefault="00D128C9" w:rsidP="00B53ABA">
      <w:pPr>
        <w:pStyle w:val="ListParagraph"/>
        <w:numPr>
          <w:ilvl w:val="0"/>
          <w:numId w:val="32"/>
        </w:numPr>
        <w:spacing w:after="0" w:line="240" w:lineRule="auto"/>
        <w:ind w:left="270" w:hanging="270"/>
        <w:rPr>
          <w:rFonts w:ascii="Times New Roman" w:hAnsi="Times New Roman" w:cs="Times New Roman"/>
          <w:sz w:val="28"/>
          <w:szCs w:val="28"/>
        </w:rPr>
      </w:pPr>
      <w:r>
        <w:rPr>
          <w:rFonts w:ascii="Times New Roman" w:hAnsi="Times New Roman" w:cs="Times New Roman"/>
          <w:sz w:val="28"/>
          <w:szCs w:val="28"/>
        </w:rPr>
        <w:t>Nếu triệu chứng nặng hơn hoặc xung quanh xuất hiện người tiêu chảy máu, cần nhanh chóng tìm kiếm sự chăm sóc y tế.</w:t>
      </w:r>
    </w:p>
    <w:p w14:paraId="1B2D1930" w14:textId="77777777" w:rsidR="00152777" w:rsidRDefault="00152777" w:rsidP="00152777">
      <w:pPr>
        <w:spacing w:after="0" w:line="240" w:lineRule="auto"/>
        <w:rPr>
          <w:rFonts w:ascii="Times New Roman" w:hAnsi="Times New Roman" w:cs="Times New Roman"/>
          <w:sz w:val="28"/>
          <w:szCs w:val="28"/>
        </w:rPr>
      </w:pPr>
    </w:p>
    <w:p w14:paraId="7F3626A9" w14:textId="77777777" w:rsidR="00201C97" w:rsidRDefault="00201C97" w:rsidP="00152777">
      <w:pPr>
        <w:spacing w:after="0" w:line="240" w:lineRule="auto"/>
        <w:rPr>
          <w:rFonts w:ascii="Times New Roman" w:hAnsi="Times New Roman" w:cs="Times New Roman"/>
          <w:sz w:val="28"/>
          <w:szCs w:val="28"/>
        </w:rPr>
      </w:pPr>
    </w:p>
    <w:p w14:paraId="5AEB9F3F" w14:textId="0F8526DA" w:rsidR="00201C97" w:rsidRPr="008E3FA3" w:rsidRDefault="00201C97" w:rsidP="00152777">
      <w:pPr>
        <w:spacing w:after="0" w:line="240" w:lineRule="auto"/>
        <w:rPr>
          <w:rFonts w:ascii="Times New Roman" w:hAnsi="Times New Roman" w:cs="Times New Roman"/>
          <w:b/>
          <w:bCs/>
          <w:sz w:val="28"/>
          <w:szCs w:val="28"/>
        </w:rPr>
      </w:pPr>
      <w:r w:rsidRPr="008E3FA3">
        <w:rPr>
          <w:rFonts w:ascii="Times New Roman" w:hAnsi="Times New Roman" w:cs="Times New Roman"/>
          <w:b/>
          <w:bCs/>
          <w:sz w:val="28"/>
          <w:szCs w:val="28"/>
        </w:rPr>
        <w:t>Chú thích:</w:t>
      </w:r>
    </w:p>
    <w:p w14:paraId="0C5CBD9A" w14:textId="1BBC3B7A" w:rsidR="00201C97" w:rsidRDefault="00201C97"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 Định nghĩa này loại trừ các trường hợp sau: máu chỉ phát hiện qua kính hiển vi, phân chứa máu đã tiêu hóa, vệt máu trên bề mặt phân bình thường (trĩ, tổn thương hậu môn hoặc trực tràng,…).</w:t>
      </w:r>
    </w:p>
    <w:p w14:paraId="615ACAE2" w14:textId="37D780A4" w:rsidR="009466AC" w:rsidRDefault="00201C97"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w:t>
      </w:r>
      <w:r w:rsidR="00CB415B">
        <w:rPr>
          <w:rFonts w:ascii="Times New Roman" w:hAnsi="Times New Roman" w:cs="Times New Roman"/>
          <w:sz w:val="28"/>
          <w:szCs w:val="28"/>
        </w:rPr>
        <w:t>Tránh dùng ciprofloxacin ở phụ nữ mang thai. Tuy nhiên, nếu không có Ceftriaxone, có thể dùng các kháng sinh khác, bao gồm cả ciprofloxacin nếu thật sự cần thiết.</w:t>
      </w:r>
    </w:p>
    <w:p w14:paraId="24DD0DE5" w14:textId="616EF309" w:rsidR="00C72DA9" w:rsidRPr="008E3FA3" w:rsidRDefault="003A4731" w:rsidP="008E3FA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3FA3">
        <w:rPr>
          <w:rFonts w:ascii="Times New Roman" w:hAnsi="Times New Roman" w:cs="Times New Roman"/>
          <w:sz w:val="28"/>
          <w:szCs w:val="28"/>
        </w:rPr>
        <w:t xml:space="preserve">  </w:t>
      </w:r>
      <w:r>
        <w:rPr>
          <w:rFonts w:ascii="Times New Roman" w:hAnsi="Times New Roman" w:cs="Times New Roman"/>
          <w:b/>
          <w:bCs/>
          <w:sz w:val="28"/>
          <w:szCs w:val="28"/>
        </w:rPr>
        <w:t>LỴ</w:t>
      </w:r>
      <w:r w:rsidR="003D4F76">
        <w:rPr>
          <w:rFonts w:ascii="Times New Roman" w:hAnsi="Times New Roman" w:cs="Times New Roman"/>
          <w:b/>
          <w:bCs/>
          <w:sz w:val="28"/>
          <w:szCs w:val="28"/>
        </w:rPr>
        <w:t xml:space="preserve"> </w:t>
      </w:r>
      <w:r w:rsidR="009466AC" w:rsidRPr="00DD51CA">
        <w:rPr>
          <w:rFonts w:ascii="Times New Roman" w:hAnsi="Times New Roman" w:cs="Times New Roman"/>
          <w:b/>
          <w:bCs/>
          <w:sz w:val="28"/>
          <w:szCs w:val="28"/>
        </w:rPr>
        <w:t>AMÍP</w:t>
      </w:r>
    </w:p>
    <w:p w14:paraId="30264B5F" w14:textId="01F992A8" w:rsidR="009466AC" w:rsidRPr="008E3FA3" w:rsidRDefault="00DD51CA" w:rsidP="00DD51CA">
      <w:pPr>
        <w:spacing w:after="0" w:line="240" w:lineRule="auto"/>
        <w:jc w:val="right"/>
        <w:rPr>
          <w:rFonts w:ascii="Times New Roman" w:hAnsi="Times New Roman" w:cs="Times New Roman"/>
          <w:b/>
          <w:sz w:val="28"/>
          <w:szCs w:val="28"/>
        </w:rPr>
      </w:pPr>
      <w:r w:rsidRPr="008E3FA3">
        <w:rPr>
          <w:rFonts w:ascii="Times New Roman" w:hAnsi="Times New Roman" w:cs="Times New Roman"/>
          <w:b/>
          <w:sz w:val="28"/>
          <w:szCs w:val="28"/>
        </w:rPr>
        <w:t>Người dịch: BS Thành Anh Hoàng</w:t>
      </w:r>
    </w:p>
    <w:p w14:paraId="5205D8BB" w14:textId="77777777" w:rsidR="00DD51CA" w:rsidRDefault="00DD51CA" w:rsidP="00DD51CA">
      <w:pPr>
        <w:spacing w:after="0" w:line="240" w:lineRule="auto"/>
        <w:jc w:val="right"/>
        <w:rPr>
          <w:rFonts w:ascii="Times New Roman" w:hAnsi="Times New Roman" w:cs="Times New Roman"/>
          <w:sz w:val="28"/>
          <w:szCs w:val="28"/>
        </w:rPr>
      </w:pPr>
    </w:p>
    <w:p w14:paraId="38AA912B" w14:textId="42DEFC2F" w:rsidR="00565F01" w:rsidRDefault="00DD51CA"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3D4F76">
        <w:rPr>
          <w:rFonts w:ascii="Times New Roman" w:hAnsi="Times New Roman" w:cs="Times New Roman"/>
          <w:sz w:val="28"/>
          <w:szCs w:val="28"/>
        </w:rPr>
        <w:t>Lỵ</w:t>
      </w:r>
      <w:r w:rsidR="00565F01">
        <w:rPr>
          <w:rFonts w:ascii="Times New Roman" w:hAnsi="Times New Roman" w:cs="Times New Roman"/>
          <w:sz w:val="28"/>
          <w:szCs w:val="28"/>
        </w:rPr>
        <w:t xml:space="preserve"> amíp là một bệnh lý nhiễm k</w:t>
      </w:r>
      <w:r w:rsidR="00ED23FF">
        <w:rPr>
          <w:rFonts w:ascii="Times New Roman" w:hAnsi="Times New Roman" w:cs="Times New Roman"/>
          <w:sz w:val="28"/>
          <w:szCs w:val="28"/>
        </w:rPr>
        <w:t>ý</w:t>
      </w:r>
      <w:r w:rsidR="00565F01">
        <w:rPr>
          <w:rFonts w:ascii="Times New Roman" w:hAnsi="Times New Roman" w:cs="Times New Roman"/>
          <w:sz w:val="28"/>
          <w:szCs w:val="28"/>
        </w:rPr>
        <w:t xml:space="preserve"> sinh trùng do sinh vật đơn bào đường ruột </w:t>
      </w:r>
      <w:r w:rsidR="00565F01" w:rsidRPr="00565F01">
        <w:rPr>
          <w:rFonts w:ascii="Times New Roman" w:hAnsi="Times New Roman" w:cs="Times New Roman"/>
          <w:i/>
          <w:iCs/>
          <w:sz w:val="28"/>
          <w:szCs w:val="28"/>
        </w:rPr>
        <w:t>Entamoeba Histolytica</w:t>
      </w:r>
      <w:r w:rsidR="00565F01">
        <w:rPr>
          <w:rFonts w:ascii="Times New Roman" w:hAnsi="Times New Roman" w:cs="Times New Roman"/>
          <w:sz w:val="28"/>
          <w:szCs w:val="28"/>
        </w:rPr>
        <w:t>. Lây truyền qua đường phân - miệng, do nuốt phải nang amíp từ thức ăn hoặc nguồn nước bị nhiễm bẩn. Thông thường, các nang này sau khi được nuốt vào sẽ giải phóng ra những thể amíp không gây bệnh, và 90% người mang mầm bệnh không có triệu chứng.</w:t>
      </w:r>
    </w:p>
    <w:p w14:paraId="0B440F2C" w14:textId="2463DB2C" w:rsidR="00565F01" w:rsidRDefault="00DD51CA"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Ở 10% bệnh nhân bị lây nhiễm, các thể amíp gây bệnh xâm nhập vào lớp niêm mạc đại tràng: đây là bệnh lỵ amíp đường ruột. Biểu hiện lâm sàng tương tự như nhiễm Lỵ trực khuẩn (Shigella) - vốn là nguyên nhân </w:t>
      </w:r>
      <w:r w:rsidR="001925F8">
        <w:rPr>
          <w:rFonts w:ascii="Times New Roman" w:hAnsi="Times New Roman" w:cs="Times New Roman"/>
          <w:sz w:val="28"/>
          <w:szCs w:val="28"/>
        </w:rPr>
        <w:t>phổ biến</w:t>
      </w:r>
      <w:r>
        <w:rPr>
          <w:rFonts w:ascii="Times New Roman" w:hAnsi="Times New Roman" w:cs="Times New Roman"/>
          <w:sz w:val="28"/>
          <w:szCs w:val="28"/>
        </w:rPr>
        <w:t xml:space="preserve"> gây ra bệnh lỵ.</w:t>
      </w:r>
    </w:p>
    <w:p w14:paraId="0992D6EA" w14:textId="5161BF01" w:rsidR="00DD51CA" w:rsidRDefault="00DD51CA" w:rsidP="00152777">
      <w:pPr>
        <w:spacing w:after="0" w:line="240" w:lineRule="auto"/>
        <w:rPr>
          <w:rFonts w:ascii="Times New Roman" w:hAnsi="Times New Roman" w:cs="Times New Roman"/>
          <w:sz w:val="28"/>
          <w:szCs w:val="28"/>
        </w:rPr>
      </w:pPr>
      <w:r>
        <w:rPr>
          <w:rFonts w:ascii="Times New Roman" w:hAnsi="Times New Roman" w:cs="Times New Roman"/>
          <w:sz w:val="28"/>
          <w:szCs w:val="28"/>
        </w:rPr>
        <w:tab/>
        <w:t>Đôi khi, amíp gây bệnh di chuyển theo máu và hình thành các ổ áp-xe ở ngoại vi. Áp-xe gan do amíp là thể thường gặp nhất của  amíp ngoài ruột.</w:t>
      </w:r>
    </w:p>
    <w:p w14:paraId="0FCC7637" w14:textId="1F29D3B0" w:rsidR="00DD51CA" w:rsidRDefault="00DD51CA" w:rsidP="008E3FA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Đặc điểm lâm sàng</w:t>
      </w:r>
    </w:p>
    <w:p w14:paraId="2BABE3C4" w14:textId="30E43DE1" w:rsidR="003D4F76" w:rsidRPr="00F46422" w:rsidRDefault="003D4F76" w:rsidP="003D4F76">
      <w:pPr>
        <w:pStyle w:val="ListParagraph"/>
        <w:numPr>
          <w:ilvl w:val="0"/>
          <w:numId w:val="33"/>
        </w:numPr>
        <w:spacing w:after="0" w:line="240" w:lineRule="auto"/>
        <w:ind w:left="360"/>
        <w:rPr>
          <w:rFonts w:ascii="Times New Roman" w:hAnsi="Times New Roman" w:cs="Times New Roman"/>
          <w:sz w:val="28"/>
          <w:szCs w:val="28"/>
        </w:rPr>
      </w:pPr>
      <w:r w:rsidRPr="00F46422">
        <w:rPr>
          <w:rFonts w:ascii="Times New Roman" w:hAnsi="Times New Roman" w:cs="Times New Roman"/>
          <w:sz w:val="28"/>
          <w:szCs w:val="28"/>
        </w:rPr>
        <w:t>Lỵ amíp:</w:t>
      </w:r>
    </w:p>
    <w:p w14:paraId="4BE79067" w14:textId="3C324394" w:rsidR="003D4F76" w:rsidRPr="003D4F76" w:rsidRDefault="003D4F76" w:rsidP="003D4F76">
      <w:pPr>
        <w:pStyle w:val="ListParagraph"/>
        <w:numPr>
          <w:ilvl w:val="1"/>
          <w:numId w:val="35"/>
        </w:numPr>
        <w:spacing w:after="0" w:line="240" w:lineRule="auto"/>
        <w:rPr>
          <w:rFonts w:ascii="Times New Roman" w:hAnsi="Times New Roman" w:cs="Times New Roman"/>
          <w:b/>
          <w:bCs/>
          <w:sz w:val="28"/>
          <w:szCs w:val="28"/>
        </w:rPr>
      </w:pPr>
      <w:r>
        <w:rPr>
          <w:rFonts w:ascii="Times New Roman" w:hAnsi="Times New Roman" w:cs="Times New Roman"/>
          <w:sz w:val="28"/>
          <w:szCs w:val="28"/>
        </w:rPr>
        <w:t>Tiêu chảy lẫn máu đỏ tươi và nhầy.</w:t>
      </w:r>
    </w:p>
    <w:p w14:paraId="04AA3F6F" w14:textId="234E0FFB" w:rsidR="003D4F76" w:rsidRPr="003D4F76" w:rsidRDefault="003D4F76" w:rsidP="003D4F76">
      <w:pPr>
        <w:pStyle w:val="ListParagraph"/>
        <w:numPr>
          <w:ilvl w:val="1"/>
          <w:numId w:val="35"/>
        </w:numPr>
        <w:spacing w:after="0" w:line="240" w:lineRule="auto"/>
        <w:rPr>
          <w:rFonts w:ascii="Times New Roman" w:hAnsi="Times New Roman" w:cs="Times New Roman"/>
          <w:b/>
          <w:bCs/>
          <w:sz w:val="28"/>
          <w:szCs w:val="28"/>
        </w:rPr>
      </w:pPr>
      <w:r>
        <w:rPr>
          <w:rFonts w:ascii="Times New Roman" w:hAnsi="Times New Roman" w:cs="Times New Roman"/>
          <w:sz w:val="28"/>
          <w:szCs w:val="28"/>
        </w:rPr>
        <w:t>Đau bụng, mót rặn.</w:t>
      </w:r>
    </w:p>
    <w:p w14:paraId="013F1E53" w14:textId="68A1A360" w:rsidR="003D4F76" w:rsidRPr="003D4F76" w:rsidRDefault="003D4F76" w:rsidP="003D4F76">
      <w:pPr>
        <w:pStyle w:val="ListParagraph"/>
        <w:numPr>
          <w:ilvl w:val="1"/>
          <w:numId w:val="35"/>
        </w:numPr>
        <w:spacing w:after="0" w:line="240" w:lineRule="auto"/>
        <w:rPr>
          <w:rFonts w:ascii="Times New Roman" w:hAnsi="Times New Roman" w:cs="Times New Roman"/>
          <w:b/>
          <w:bCs/>
          <w:sz w:val="28"/>
          <w:szCs w:val="28"/>
        </w:rPr>
      </w:pPr>
      <w:r>
        <w:rPr>
          <w:rFonts w:ascii="Times New Roman" w:hAnsi="Times New Roman" w:cs="Times New Roman"/>
          <w:sz w:val="28"/>
          <w:szCs w:val="28"/>
        </w:rPr>
        <w:t>Không sốt, hoặc sốt nhẹ.</w:t>
      </w:r>
    </w:p>
    <w:p w14:paraId="18858189" w14:textId="4BDBB2E9" w:rsidR="003D4F76" w:rsidRPr="003D4F76" w:rsidRDefault="003D4F76" w:rsidP="003D4F76">
      <w:pPr>
        <w:pStyle w:val="ListParagraph"/>
        <w:numPr>
          <w:ilvl w:val="1"/>
          <w:numId w:val="35"/>
        </w:numPr>
        <w:spacing w:after="0" w:line="240" w:lineRule="auto"/>
        <w:rPr>
          <w:rFonts w:ascii="Times New Roman" w:hAnsi="Times New Roman" w:cs="Times New Roman"/>
          <w:b/>
          <w:bCs/>
          <w:sz w:val="28"/>
          <w:szCs w:val="28"/>
        </w:rPr>
      </w:pPr>
      <w:r>
        <w:rPr>
          <w:rFonts w:ascii="Times New Roman" w:hAnsi="Times New Roman" w:cs="Times New Roman"/>
          <w:sz w:val="28"/>
          <w:szCs w:val="28"/>
        </w:rPr>
        <w:t>Có thể có dấu hiệu mất nước.</w:t>
      </w:r>
    </w:p>
    <w:p w14:paraId="6413FD20" w14:textId="724A8BDB" w:rsidR="003D4F76" w:rsidRPr="00F46422" w:rsidRDefault="003D4F76" w:rsidP="003D4F76">
      <w:pPr>
        <w:pStyle w:val="ListParagraph"/>
        <w:numPr>
          <w:ilvl w:val="0"/>
          <w:numId w:val="33"/>
        </w:numPr>
        <w:spacing w:after="0" w:line="240" w:lineRule="auto"/>
        <w:ind w:left="360"/>
        <w:rPr>
          <w:rFonts w:ascii="Times New Roman" w:hAnsi="Times New Roman" w:cs="Times New Roman"/>
          <w:sz w:val="28"/>
          <w:szCs w:val="28"/>
        </w:rPr>
      </w:pPr>
      <w:r w:rsidRPr="00F46422">
        <w:rPr>
          <w:rFonts w:ascii="Times New Roman" w:hAnsi="Times New Roman" w:cs="Times New Roman"/>
          <w:sz w:val="28"/>
          <w:szCs w:val="28"/>
        </w:rPr>
        <w:t>Áp-xe gan do amíp:</w:t>
      </w:r>
    </w:p>
    <w:p w14:paraId="0DBAE3C8" w14:textId="1151FEBD" w:rsidR="00DD51CA" w:rsidRDefault="003D4F76" w:rsidP="003D4F76">
      <w:pPr>
        <w:pStyle w:val="ListParagraph"/>
        <w:numPr>
          <w:ilvl w:val="1"/>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Gan to, đau; có thể vàng da nhẹ.</w:t>
      </w:r>
    </w:p>
    <w:p w14:paraId="3353916E" w14:textId="4712F047" w:rsidR="003D4F76" w:rsidRDefault="003D4F76" w:rsidP="003D4F76">
      <w:pPr>
        <w:pStyle w:val="ListParagraph"/>
        <w:numPr>
          <w:ilvl w:val="1"/>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Chán ăn, sụt cân, buồn nôn và nôn.</w:t>
      </w:r>
    </w:p>
    <w:p w14:paraId="2B1752BC" w14:textId="1D93D400" w:rsidR="00F46422" w:rsidRDefault="003D4F76" w:rsidP="00F46422">
      <w:pPr>
        <w:pStyle w:val="ListParagraph"/>
        <w:numPr>
          <w:ilvl w:val="1"/>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Sốt từng cơn, </w:t>
      </w:r>
      <w:r w:rsidR="00BB3DE5">
        <w:rPr>
          <w:rFonts w:ascii="Times New Roman" w:hAnsi="Times New Roman" w:cs="Times New Roman"/>
          <w:sz w:val="28"/>
          <w:szCs w:val="28"/>
        </w:rPr>
        <w:t>vã</w:t>
      </w:r>
      <w:r>
        <w:rPr>
          <w:rFonts w:ascii="Times New Roman" w:hAnsi="Times New Roman" w:cs="Times New Roman"/>
          <w:sz w:val="28"/>
          <w:szCs w:val="28"/>
        </w:rPr>
        <w:t xml:space="preserve"> mồ hôi, ớn lạnh. </w:t>
      </w:r>
    </w:p>
    <w:p w14:paraId="05955C19" w14:textId="3BA1156E" w:rsidR="00F46422" w:rsidRPr="00F46422" w:rsidRDefault="00F46422" w:rsidP="008E3FA3">
      <w:pPr>
        <w:spacing w:after="0" w:line="240" w:lineRule="auto"/>
        <w:rPr>
          <w:rFonts w:ascii="Times New Roman" w:hAnsi="Times New Roman" w:cs="Times New Roman"/>
          <w:b/>
          <w:bCs/>
          <w:sz w:val="28"/>
          <w:szCs w:val="28"/>
        </w:rPr>
      </w:pPr>
      <w:r w:rsidRPr="00F46422">
        <w:rPr>
          <w:rFonts w:ascii="Times New Roman" w:hAnsi="Times New Roman" w:cs="Times New Roman"/>
          <w:b/>
          <w:bCs/>
          <w:sz w:val="28"/>
          <w:szCs w:val="28"/>
        </w:rPr>
        <w:t>Xét nghiệm</w:t>
      </w:r>
    </w:p>
    <w:p w14:paraId="394C1E0F" w14:textId="1A01A706" w:rsidR="00F46422" w:rsidRDefault="00F46422" w:rsidP="00F46422">
      <w:pPr>
        <w:pStyle w:val="ListParagraph"/>
        <w:numPr>
          <w:ilvl w:val="0"/>
          <w:numId w:val="33"/>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Lỵ amíp đường ruột: phát hiện thể hoạt động di động (</w:t>
      </w:r>
      <w:r w:rsidRPr="00F46422">
        <w:rPr>
          <w:rFonts w:ascii="Times New Roman" w:hAnsi="Times New Roman" w:cs="Times New Roman"/>
          <w:i/>
          <w:iCs/>
          <w:sz w:val="28"/>
          <w:szCs w:val="28"/>
        </w:rPr>
        <w:t>E.histol</w:t>
      </w:r>
      <w:r w:rsidR="00D237B8">
        <w:rPr>
          <w:rFonts w:ascii="Times New Roman" w:hAnsi="Times New Roman" w:cs="Times New Roman"/>
          <w:i/>
          <w:iCs/>
          <w:sz w:val="28"/>
          <w:szCs w:val="28"/>
        </w:rPr>
        <w:t>y</w:t>
      </w:r>
      <w:r w:rsidRPr="00F46422">
        <w:rPr>
          <w:rFonts w:ascii="Times New Roman" w:hAnsi="Times New Roman" w:cs="Times New Roman"/>
          <w:i/>
          <w:iCs/>
          <w:sz w:val="28"/>
          <w:szCs w:val="28"/>
        </w:rPr>
        <w:t>t</w:t>
      </w:r>
      <w:r w:rsidR="00D237B8">
        <w:rPr>
          <w:rFonts w:ascii="Times New Roman" w:hAnsi="Times New Roman" w:cs="Times New Roman"/>
          <w:i/>
          <w:iCs/>
          <w:sz w:val="28"/>
          <w:szCs w:val="28"/>
        </w:rPr>
        <w:t>i</w:t>
      </w:r>
      <w:r w:rsidRPr="00F46422">
        <w:rPr>
          <w:rFonts w:ascii="Times New Roman" w:hAnsi="Times New Roman" w:cs="Times New Roman"/>
          <w:i/>
          <w:iCs/>
          <w:sz w:val="28"/>
          <w:szCs w:val="28"/>
        </w:rPr>
        <w:t>ca</w:t>
      </w:r>
      <w:r>
        <w:rPr>
          <w:rFonts w:ascii="Times New Roman" w:hAnsi="Times New Roman" w:cs="Times New Roman"/>
          <w:sz w:val="28"/>
          <w:szCs w:val="28"/>
        </w:rPr>
        <w:t>) trong mẫu phân tươi.</w:t>
      </w:r>
    </w:p>
    <w:p w14:paraId="34CB33F8" w14:textId="0677851E" w:rsidR="00F46422" w:rsidRDefault="00F46422" w:rsidP="00F46422">
      <w:pPr>
        <w:pStyle w:val="ListParagraph"/>
        <w:numPr>
          <w:ilvl w:val="0"/>
          <w:numId w:val="33"/>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Áp-xe gan do amíp: phản ứng ngưng kết hồng cầu gián tiếp và ELISA.</w:t>
      </w:r>
    </w:p>
    <w:p w14:paraId="0B6CB8ED" w14:textId="3F0E3C7D" w:rsidR="00F46422" w:rsidRDefault="00F46422" w:rsidP="00F46422">
      <w:pPr>
        <w:pStyle w:val="ListParagraph"/>
        <w:numPr>
          <w:ilvl w:val="0"/>
          <w:numId w:val="33"/>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Siêu âm có trọng điểm</w:t>
      </w:r>
      <w:r w:rsidR="002B10FB" w:rsidRPr="002B10FB">
        <w:rPr>
          <w:rFonts w:ascii="Times New Roman" w:hAnsi="Times New Roman" w:cs="Times New Roman"/>
          <w:sz w:val="28"/>
          <w:szCs w:val="28"/>
          <w:vertAlign w:val="superscript"/>
        </w:rPr>
        <w:t>a</w:t>
      </w:r>
      <w:r>
        <w:rPr>
          <w:rFonts w:ascii="Times New Roman" w:hAnsi="Times New Roman" w:cs="Times New Roman"/>
          <w:sz w:val="28"/>
          <w:szCs w:val="28"/>
        </w:rPr>
        <w:t xml:space="preserve">: thực hiện EFAST </w:t>
      </w:r>
      <w:r w:rsidRPr="00F46422">
        <w:rPr>
          <w:rFonts w:ascii="Times New Roman" w:hAnsi="Times New Roman" w:cs="Times New Roman"/>
          <w:sz w:val="28"/>
          <w:szCs w:val="28"/>
        </w:rPr>
        <w:t>(extended focused assessment with sonography for trauma)</w:t>
      </w:r>
      <w:r>
        <w:rPr>
          <w:rFonts w:ascii="Times New Roman" w:hAnsi="Times New Roman" w:cs="Times New Roman"/>
          <w:sz w:val="28"/>
          <w:szCs w:val="28"/>
        </w:rPr>
        <w:t xml:space="preserve">, </w:t>
      </w:r>
      <w:r w:rsidRPr="00F46422">
        <w:rPr>
          <w:rFonts w:ascii="Times New Roman" w:hAnsi="Times New Roman" w:cs="Times New Roman"/>
          <w:sz w:val="28"/>
          <w:szCs w:val="28"/>
        </w:rPr>
        <w:t>kèm thêm các mặt cắt gan và lách để đánh giá dấu hiệu tổn thương do amíp.</w:t>
      </w:r>
      <w:r>
        <w:rPr>
          <w:rFonts w:ascii="Times New Roman" w:hAnsi="Times New Roman" w:cs="Times New Roman"/>
          <w:sz w:val="28"/>
          <w:szCs w:val="28"/>
        </w:rPr>
        <w:t xml:space="preserve"> </w:t>
      </w:r>
      <w:r w:rsidRPr="00F46422">
        <w:rPr>
          <w:rFonts w:ascii="Times New Roman" w:hAnsi="Times New Roman" w:cs="Times New Roman"/>
          <w:sz w:val="28"/>
          <w:szCs w:val="28"/>
        </w:rPr>
        <w:t>Liên hệ chuyên gia để hỗ trợ đọc hình ảnh và phân biệt áp-xe gan do amíp với các bệnh lý khác có đặc điểm tương tự.</w:t>
      </w:r>
    </w:p>
    <w:p w14:paraId="6DE8FDDB" w14:textId="61886731" w:rsidR="00F93758" w:rsidRDefault="00A1264E" w:rsidP="008E3FA3">
      <w:pPr>
        <w:spacing w:after="0" w:line="240" w:lineRule="auto"/>
        <w:rPr>
          <w:rFonts w:ascii="Times New Roman" w:hAnsi="Times New Roman" w:cs="Times New Roman"/>
          <w:sz w:val="28"/>
          <w:szCs w:val="28"/>
        </w:rPr>
      </w:pPr>
      <w:r>
        <w:rPr>
          <w:rFonts w:ascii="Times New Roman" w:hAnsi="Times New Roman" w:cs="Times New Roman"/>
          <w:b/>
          <w:bCs/>
          <w:sz w:val="28"/>
          <w:szCs w:val="28"/>
        </w:rPr>
        <w:t>Điều trị</w:t>
      </w:r>
    </w:p>
    <w:p w14:paraId="14C21046" w14:textId="6A7BB47C" w:rsidR="00A1264E" w:rsidRDefault="00A1264E" w:rsidP="00A1264E">
      <w:pPr>
        <w:pStyle w:val="ListParagraph"/>
        <w:numPr>
          <w:ilvl w:val="0"/>
          <w:numId w:val="37"/>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Lỵ amíp đường ruột:</w:t>
      </w:r>
    </w:p>
    <w:p w14:paraId="5E4219FC" w14:textId="3A51D0DC" w:rsidR="00A1264E" w:rsidRDefault="00A1264E" w:rsidP="00A1264E">
      <w:pPr>
        <w:pStyle w:val="ListParagraph"/>
        <w:numPr>
          <w:ilvl w:val="1"/>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Chỉ phát hiện nang amíp đơn thuần thì không cần điều trị.</w:t>
      </w:r>
    </w:p>
    <w:p w14:paraId="26B5BDA1" w14:textId="5D83909C" w:rsidR="00A1264E" w:rsidRDefault="00A1264E" w:rsidP="00A1264E">
      <w:pPr>
        <w:pStyle w:val="ListParagraph"/>
        <w:numPr>
          <w:ilvl w:val="1"/>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Bệnh lỵ amíp được xác định bằng xét nghiệm tìm k</w:t>
      </w:r>
      <w:r w:rsidR="00ED23FF">
        <w:rPr>
          <w:rFonts w:ascii="Times New Roman" w:hAnsi="Times New Roman" w:cs="Times New Roman"/>
          <w:sz w:val="28"/>
          <w:szCs w:val="28"/>
        </w:rPr>
        <w:t>ý</w:t>
      </w:r>
      <w:r>
        <w:rPr>
          <w:rFonts w:ascii="Times New Roman" w:hAnsi="Times New Roman" w:cs="Times New Roman"/>
          <w:sz w:val="28"/>
          <w:szCs w:val="28"/>
        </w:rPr>
        <w:t xml:space="preserve"> sinh trùng trong phân: </w:t>
      </w:r>
    </w:p>
    <w:p w14:paraId="513E7EC5" w14:textId="0C8FB3C3"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Tinidazol </w:t>
      </w:r>
      <w:r>
        <w:rPr>
          <w:rFonts w:ascii="Times New Roman" w:hAnsi="Times New Roman" w:cs="Times New Roman"/>
          <w:sz w:val="28"/>
          <w:szCs w:val="28"/>
        </w:rPr>
        <w:t>đường uống</w:t>
      </w:r>
    </w:p>
    <w:p w14:paraId="342252EB" w14:textId="153AFBEE"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Trẻ em: 50 mg/kg x 1 lần / ngày trong 3 ngày (tối đa 2g/ngày).</w:t>
      </w:r>
    </w:p>
    <w:p w14:paraId="28B25C62" w14:textId="147F7FA9"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Người lớn: 2g x 1 lần/ngày trong 3 ngày.</w:t>
      </w:r>
    </w:p>
    <w:p w14:paraId="15952F23" w14:textId="7E8281CB"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Hoặc </w:t>
      </w:r>
      <w:r>
        <w:rPr>
          <w:rFonts w:ascii="Times New Roman" w:hAnsi="Times New Roman" w:cs="Times New Roman"/>
          <w:b/>
          <w:bCs/>
          <w:sz w:val="28"/>
          <w:szCs w:val="28"/>
        </w:rPr>
        <w:t>Metronidazol</w:t>
      </w:r>
      <w:r>
        <w:rPr>
          <w:rFonts w:ascii="Times New Roman" w:hAnsi="Times New Roman" w:cs="Times New Roman"/>
          <w:sz w:val="28"/>
          <w:szCs w:val="28"/>
        </w:rPr>
        <w:t xml:space="preserve"> đường uống:</w:t>
      </w:r>
    </w:p>
    <w:p w14:paraId="58AD02AD" w14:textId="3B40DCFE"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Trẻ em: 15mg/kg x 3 lần/ngày trong 5 ngày.</w:t>
      </w:r>
    </w:p>
    <w:p w14:paraId="16041AF6" w14:textId="40A99BD9" w:rsidR="00A1264E" w:rsidRDefault="00A1264E" w:rsidP="00A1264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Người lớn: 500mg x 3 lần/ngày trong 5 ngày.</w:t>
      </w:r>
    </w:p>
    <w:p w14:paraId="61FD38B2" w14:textId="64068A79" w:rsidR="00A1264E" w:rsidRDefault="00A1264E" w:rsidP="00A1264E">
      <w:pPr>
        <w:pStyle w:val="ListParagraph"/>
        <w:numPr>
          <w:ilvl w:val="1"/>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Nếu không có cận lâm sàng, bệnh lỵ trước tiên nên điều trị Shigella. Điều trị lỵ amíp nếu điều trị Shigella không đáp ứng.</w:t>
      </w:r>
    </w:p>
    <w:p w14:paraId="4C4A7AAC" w14:textId="7FB1202E" w:rsidR="002B10FB" w:rsidRDefault="002B10FB" w:rsidP="002B10FB">
      <w:pPr>
        <w:pStyle w:val="ListParagraph"/>
        <w:numPr>
          <w:ilvl w:val="1"/>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Dùng Oresol nếu bệnh nhân có nguy cơ hoặc có dấu hiệu mất nước.</w:t>
      </w:r>
    </w:p>
    <w:p w14:paraId="4A27EB72" w14:textId="729269E0" w:rsidR="002B10FB" w:rsidRDefault="002B10FB" w:rsidP="002B10FB">
      <w:pPr>
        <w:pStyle w:val="ListParagraph"/>
        <w:numPr>
          <w:ilvl w:val="0"/>
          <w:numId w:val="37"/>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Áp-xe gan do amíp:</w:t>
      </w:r>
    </w:p>
    <w:p w14:paraId="44B1A41B" w14:textId="77C90C7C" w:rsidR="002B10FB" w:rsidRDefault="002B10FB" w:rsidP="002B10FB">
      <w:pPr>
        <w:pStyle w:val="ListParagraph"/>
        <w:numPr>
          <w:ilvl w:val="1"/>
          <w:numId w:val="41"/>
        </w:num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Tinidazol </w:t>
      </w:r>
      <w:r>
        <w:rPr>
          <w:rFonts w:ascii="Times New Roman" w:hAnsi="Times New Roman" w:cs="Times New Roman"/>
          <w:sz w:val="28"/>
          <w:szCs w:val="28"/>
        </w:rPr>
        <w:t>đường uống: tương tự, trong 5 ngày.</w:t>
      </w:r>
    </w:p>
    <w:p w14:paraId="77275399" w14:textId="725AA0AB" w:rsidR="002B10FB" w:rsidRDefault="002B10FB" w:rsidP="002B10FB">
      <w:pPr>
        <w:pStyle w:val="ListParagraph"/>
        <w:numPr>
          <w:ilvl w:val="1"/>
          <w:numId w:val="41"/>
        </w:num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Metronidazol </w:t>
      </w:r>
      <w:r>
        <w:rPr>
          <w:rFonts w:ascii="Times New Roman" w:hAnsi="Times New Roman" w:cs="Times New Roman"/>
          <w:sz w:val="28"/>
          <w:szCs w:val="28"/>
        </w:rPr>
        <w:t>đường uống: tương tự, trong 5-10 ngày.</w:t>
      </w:r>
    </w:p>
    <w:p w14:paraId="55E7AA7F" w14:textId="77777777" w:rsidR="002B10FB" w:rsidRDefault="002B10FB" w:rsidP="002B10FB">
      <w:pPr>
        <w:spacing w:after="0" w:line="240" w:lineRule="auto"/>
        <w:rPr>
          <w:rFonts w:ascii="Times New Roman" w:hAnsi="Times New Roman" w:cs="Times New Roman"/>
          <w:sz w:val="28"/>
          <w:szCs w:val="28"/>
        </w:rPr>
      </w:pPr>
    </w:p>
    <w:p w14:paraId="142A8A74" w14:textId="3A44EAAB" w:rsidR="002B10FB" w:rsidRPr="002B10FB" w:rsidRDefault="002B10FB" w:rsidP="002B10FB">
      <w:pPr>
        <w:spacing w:after="0" w:line="240" w:lineRule="auto"/>
        <w:rPr>
          <w:rFonts w:ascii="Times New Roman" w:hAnsi="Times New Roman" w:cs="Times New Roman"/>
          <w:sz w:val="28"/>
          <w:szCs w:val="28"/>
        </w:rPr>
      </w:pPr>
      <w:bookmarkStart w:id="0" w:name="_GoBack"/>
      <w:bookmarkEnd w:id="0"/>
    </w:p>
    <w:sectPr w:rsidR="002B10FB" w:rsidRPr="002B1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3C87" w14:textId="77777777" w:rsidR="00DB20FA" w:rsidRDefault="00DB20FA" w:rsidP="00152777">
      <w:pPr>
        <w:spacing w:after="0" w:line="240" w:lineRule="auto"/>
      </w:pPr>
      <w:r>
        <w:separator/>
      </w:r>
    </w:p>
  </w:endnote>
  <w:endnote w:type="continuationSeparator" w:id="0">
    <w:p w14:paraId="6376D08C" w14:textId="77777777" w:rsidR="00DB20FA" w:rsidRDefault="00DB20FA" w:rsidP="0015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2D7BA" w14:textId="77777777" w:rsidR="00DB20FA" w:rsidRDefault="00DB20FA" w:rsidP="00152777">
      <w:pPr>
        <w:spacing w:after="0" w:line="240" w:lineRule="auto"/>
      </w:pPr>
      <w:r>
        <w:separator/>
      </w:r>
    </w:p>
  </w:footnote>
  <w:footnote w:type="continuationSeparator" w:id="0">
    <w:p w14:paraId="7BF4E197" w14:textId="77777777" w:rsidR="00DB20FA" w:rsidRDefault="00DB20FA" w:rsidP="00152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F58"/>
    <w:multiLevelType w:val="hybridMultilevel"/>
    <w:tmpl w:val="080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23E9"/>
    <w:multiLevelType w:val="hybridMultilevel"/>
    <w:tmpl w:val="715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9FB"/>
    <w:multiLevelType w:val="hybridMultilevel"/>
    <w:tmpl w:val="34AC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199F"/>
    <w:multiLevelType w:val="hybridMultilevel"/>
    <w:tmpl w:val="3300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C4738"/>
    <w:multiLevelType w:val="hybridMultilevel"/>
    <w:tmpl w:val="077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21C1D"/>
    <w:multiLevelType w:val="multilevel"/>
    <w:tmpl w:val="0409001D"/>
    <w:numStyleLink w:val="Style8"/>
  </w:abstractNum>
  <w:abstractNum w:abstractNumId="6" w15:restartNumberingAfterBreak="0">
    <w:nsid w:val="19AB7441"/>
    <w:multiLevelType w:val="multilevel"/>
    <w:tmpl w:val="0409001D"/>
    <w:styleLink w:val="Styl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BA7A07"/>
    <w:multiLevelType w:val="hybridMultilevel"/>
    <w:tmpl w:val="78A0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84D99"/>
    <w:multiLevelType w:val="hybridMultilevel"/>
    <w:tmpl w:val="436A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F6D45"/>
    <w:multiLevelType w:val="hybridMultilevel"/>
    <w:tmpl w:val="40D69CDC"/>
    <w:lvl w:ilvl="0" w:tplc="349A72EC">
      <w:start w:val="1"/>
      <w:numFmt w:val="bullet"/>
      <w:lvlText w:val=""/>
      <w:lvlJc w:val="left"/>
      <w:pPr>
        <w:ind w:left="720" w:hanging="360"/>
      </w:pPr>
      <w:rPr>
        <w:rFonts w:ascii="Symbol" w:hAnsi="Symbol" w:hint="default"/>
        <w:b/>
        <w:bCs w:val="0"/>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52B8B"/>
    <w:multiLevelType w:val="hybridMultilevel"/>
    <w:tmpl w:val="8220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E05C4"/>
    <w:multiLevelType w:val="hybridMultilevel"/>
    <w:tmpl w:val="B838D14E"/>
    <w:lvl w:ilvl="0" w:tplc="2EF49160">
      <w:start w:val="1"/>
      <w:numFmt w:val="bullet"/>
      <w:lvlText w:val=""/>
      <w:lvlJc w:val="left"/>
      <w:pPr>
        <w:ind w:left="720" w:hanging="360"/>
      </w:pPr>
      <w:rPr>
        <w:rFonts w:ascii="Symbol" w:hAnsi="Symbol" w:hint="default"/>
        <w:b/>
        <w:bCs w:val="0"/>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A307E"/>
    <w:multiLevelType w:val="hybridMultilevel"/>
    <w:tmpl w:val="FE7C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D5A0C"/>
    <w:multiLevelType w:val="multilevel"/>
    <w:tmpl w:val="0409001D"/>
    <w:numStyleLink w:val="Style2"/>
  </w:abstractNum>
  <w:abstractNum w:abstractNumId="14" w15:restartNumberingAfterBreak="0">
    <w:nsid w:val="2B907958"/>
    <w:multiLevelType w:val="hybridMultilevel"/>
    <w:tmpl w:val="0740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C5F1F"/>
    <w:multiLevelType w:val="multilevel"/>
    <w:tmpl w:val="0409001D"/>
    <w:numStyleLink w:val="Style5"/>
  </w:abstractNum>
  <w:abstractNum w:abstractNumId="16" w15:restartNumberingAfterBreak="0">
    <w:nsid w:val="2F5B03DE"/>
    <w:multiLevelType w:val="multilevel"/>
    <w:tmpl w:val="0409001D"/>
    <w:styleLink w:val="Style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9D26FA"/>
    <w:multiLevelType w:val="hybridMultilevel"/>
    <w:tmpl w:val="125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D4040"/>
    <w:multiLevelType w:val="multilevel"/>
    <w:tmpl w:val="0409001D"/>
    <w:styleLink w:val="Style3"/>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523B4F"/>
    <w:multiLevelType w:val="multilevel"/>
    <w:tmpl w:val="0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B025C9"/>
    <w:multiLevelType w:val="multilevel"/>
    <w:tmpl w:val="0409001D"/>
    <w:numStyleLink w:val="Style7"/>
  </w:abstractNum>
  <w:abstractNum w:abstractNumId="21" w15:restartNumberingAfterBreak="0">
    <w:nsid w:val="38CC3BF2"/>
    <w:multiLevelType w:val="multilevel"/>
    <w:tmpl w:val="EC5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75AB5"/>
    <w:multiLevelType w:val="hybridMultilevel"/>
    <w:tmpl w:val="4AF86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1F4FE4"/>
    <w:multiLevelType w:val="multilevel"/>
    <w:tmpl w:val="0409001D"/>
    <w:numStyleLink w:val="Style1"/>
  </w:abstractNum>
  <w:abstractNum w:abstractNumId="24" w15:restartNumberingAfterBreak="0">
    <w:nsid w:val="479561BB"/>
    <w:multiLevelType w:val="multilevel"/>
    <w:tmpl w:val="0409001D"/>
    <w:numStyleLink w:val="Style6"/>
  </w:abstractNum>
  <w:abstractNum w:abstractNumId="25" w15:restartNumberingAfterBreak="0">
    <w:nsid w:val="483E2FFB"/>
    <w:multiLevelType w:val="hybridMultilevel"/>
    <w:tmpl w:val="7B2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62B2D"/>
    <w:multiLevelType w:val="multilevel"/>
    <w:tmpl w:val="0409001D"/>
    <w:styleLink w:val="Style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0142E4"/>
    <w:multiLevelType w:val="hybridMultilevel"/>
    <w:tmpl w:val="E1AA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63D8B"/>
    <w:multiLevelType w:val="multilevel"/>
    <w:tmpl w:val="0409001D"/>
    <w:styleLink w:val="Styl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C10712"/>
    <w:multiLevelType w:val="hybridMultilevel"/>
    <w:tmpl w:val="1A4067DE"/>
    <w:lvl w:ilvl="0" w:tplc="0B7007A2">
      <w:start w:val="1"/>
      <w:numFmt w:val="bullet"/>
      <w:lvlText w:val=""/>
      <w:lvlJc w:val="left"/>
      <w:pPr>
        <w:ind w:left="720" w:hanging="360"/>
      </w:pPr>
      <w:rPr>
        <w:rFonts w:ascii="Symbol" w:hAnsi="Symbol" w:hint="default"/>
        <w:b/>
        <w:bCs w:val="0"/>
        <w:sz w:val="28"/>
        <w:szCs w:val="28"/>
        <w:vertAlign w:val="baseline"/>
      </w:rPr>
    </w:lvl>
    <w:lvl w:ilvl="1" w:tplc="CF187C52">
      <w:start w:val="1"/>
      <w:numFmt w:val="bullet"/>
      <w:lvlText w:val=""/>
      <w:lvlJc w:val="left"/>
      <w:pPr>
        <w:ind w:left="1440" w:hanging="360"/>
      </w:pPr>
      <w:rPr>
        <w:rFonts w:ascii="Symbol" w:hAnsi="Symbol" w:hint="default"/>
        <w:b/>
        <w:bCs w:val="0"/>
        <w:sz w:val="20"/>
        <w:szCs w:val="20"/>
        <w:vertAlign w:val="superscrip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85C07"/>
    <w:multiLevelType w:val="multilevel"/>
    <w:tmpl w:val="0409001D"/>
    <w:numStyleLink w:val="Style8"/>
  </w:abstractNum>
  <w:abstractNum w:abstractNumId="31" w15:restartNumberingAfterBreak="0">
    <w:nsid w:val="657E6536"/>
    <w:multiLevelType w:val="multilevel"/>
    <w:tmpl w:val="0409001D"/>
    <w:numStyleLink w:val="Style3"/>
  </w:abstractNum>
  <w:abstractNum w:abstractNumId="32" w15:restartNumberingAfterBreak="0">
    <w:nsid w:val="69A245AF"/>
    <w:multiLevelType w:val="multilevel"/>
    <w:tmpl w:val="0409001D"/>
    <w:styleLink w:val="Style5"/>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FC3FB8"/>
    <w:multiLevelType w:val="multilevel"/>
    <w:tmpl w:val="10CA8F2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sz w:val="20"/>
        <w:szCs w:val="20"/>
        <w:vertAlign w:val="superscrip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4D4CE7"/>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C13FE6"/>
    <w:multiLevelType w:val="hybridMultilevel"/>
    <w:tmpl w:val="46D6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529E"/>
    <w:multiLevelType w:val="multilevel"/>
    <w:tmpl w:val="0409001D"/>
    <w:numStyleLink w:val="Style7"/>
  </w:abstractNum>
  <w:abstractNum w:abstractNumId="37" w15:restartNumberingAfterBreak="0">
    <w:nsid w:val="76D523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025343"/>
    <w:multiLevelType w:val="hybridMultilevel"/>
    <w:tmpl w:val="375E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52422"/>
    <w:multiLevelType w:val="hybridMultilevel"/>
    <w:tmpl w:val="21900916"/>
    <w:lvl w:ilvl="0" w:tplc="0B8A24F0">
      <w:start w:val="1"/>
      <w:numFmt w:val="bullet"/>
      <w:lvlText w:val=""/>
      <w:lvlJc w:val="left"/>
      <w:pPr>
        <w:ind w:left="360" w:hanging="360"/>
      </w:pPr>
      <w:rPr>
        <w:rFonts w:ascii="Symbol" w:hAnsi="Symbol" w:hint="default"/>
        <w:b/>
        <w:bCs w:val="0"/>
        <w:sz w:val="28"/>
        <w:szCs w:val="28"/>
        <w:vertAlign w:val="baseline"/>
      </w:rPr>
    </w:lvl>
    <w:lvl w:ilvl="1" w:tplc="CF187C52">
      <w:start w:val="1"/>
      <w:numFmt w:val="bullet"/>
      <w:lvlText w:val=""/>
      <w:lvlJc w:val="left"/>
      <w:pPr>
        <w:ind w:left="1080" w:hanging="360"/>
      </w:pPr>
      <w:rPr>
        <w:rFonts w:ascii="Symbol" w:hAnsi="Symbol" w:hint="default"/>
        <w:b/>
        <w:bCs w:val="0"/>
        <w:sz w:val="20"/>
        <w:szCs w:val="20"/>
        <w:vertAlign w:val="superscrip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384EC7"/>
    <w:multiLevelType w:val="multilevel"/>
    <w:tmpl w:val="0409001D"/>
    <w:numStyleLink w:val="Style4"/>
  </w:abstractNum>
  <w:num w:numId="1">
    <w:abstractNumId w:val="12"/>
  </w:num>
  <w:num w:numId="2">
    <w:abstractNumId w:val="34"/>
  </w:num>
  <w:num w:numId="3">
    <w:abstractNumId w:val="23"/>
    <w:lvlOverride w:ilvl="0">
      <w:lvl w:ilvl="0">
        <w:start w:val="1"/>
        <w:numFmt w:val="bullet"/>
        <w:lvlText w:val=""/>
        <w:lvlJc w:val="left"/>
        <w:pPr>
          <w:ind w:left="360" w:hanging="360"/>
        </w:pPr>
        <w:rPr>
          <w:rFonts w:ascii="Symbol" w:hAnsi="Symbol" w:hint="default"/>
          <w:sz w:val="26"/>
          <w:szCs w:val="26"/>
        </w:rPr>
      </w:lvl>
    </w:lvlOverride>
  </w:num>
  <w:num w:numId="4">
    <w:abstractNumId w:val="37"/>
  </w:num>
  <w:num w:numId="5">
    <w:abstractNumId w:val="19"/>
  </w:num>
  <w:num w:numId="6">
    <w:abstractNumId w:val="13"/>
  </w:num>
  <w:num w:numId="7">
    <w:abstractNumId w:val="18"/>
  </w:num>
  <w:num w:numId="8">
    <w:abstractNumId w:val="31"/>
  </w:num>
  <w:num w:numId="9">
    <w:abstractNumId w:val="26"/>
  </w:num>
  <w:num w:numId="10">
    <w:abstractNumId w:val="40"/>
  </w:num>
  <w:num w:numId="11">
    <w:abstractNumId w:val="32"/>
  </w:num>
  <w:num w:numId="12">
    <w:abstractNumId w:val="15"/>
    <w:lvlOverride w:ilvl="1">
      <w:lvl w:ilvl="1">
        <w:start w:val="1"/>
        <w:numFmt w:val="bullet"/>
        <w:lvlText w:val=""/>
        <w:lvlJc w:val="left"/>
        <w:pPr>
          <w:ind w:left="720" w:hanging="360"/>
        </w:pPr>
        <w:rPr>
          <w:rFonts w:ascii="Symbol" w:hAnsi="Symbol" w:hint="default"/>
          <w:b/>
          <w:bCs/>
          <w:color w:val="auto"/>
          <w:sz w:val="20"/>
          <w:szCs w:val="20"/>
          <w:vertAlign w:val="superscript"/>
        </w:rPr>
      </w:lvl>
    </w:lvlOverride>
  </w:num>
  <w:num w:numId="13">
    <w:abstractNumId w:val="17"/>
  </w:num>
  <w:num w:numId="14">
    <w:abstractNumId w:val="2"/>
  </w:num>
  <w:num w:numId="15">
    <w:abstractNumId w:val="29"/>
  </w:num>
  <w:num w:numId="16">
    <w:abstractNumId w:val="11"/>
  </w:num>
  <w:num w:numId="17">
    <w:abstractNumId w:val="39"/>
  </w:num>
  <w:num w:numId="18">
    <w:abstractNumId w:val="9"/>
  </w:num>
  <w:num w:numId="19">
    <w:abstractNumId w:val="21"/>
  </w:num>
  <w:num w:numId="20">
    <w:abstractNumId w:val="4"/>
  </w:num>
  <w:num w:numId="21">
    <w:abstractNumId w:val="7"/>
  </w:num>
  <w:num w:numId="22">
    <w:abstractNumId w:val="27"/>
  </w:num>
  <w:num w:numId="23">
    <w:abstractNumId w:val="35"/>
  </w:num>
  <w:num w:numId="24">
    <w:abstractNumId w:val="10"/>
  </w:num>
  <w:num w:numId="25">
    <w:abstractNumId w:val="0"/>
  </w:num>
  <w:num w:numId="26">
    <w:abstractNumId w:val="8"/>
  </w:num>
  <w:num w:numId="27">
    <w:abstractNumId w:val="14"/>
  </w:num>
  <w:num w:numId="28">
    <w:abstractNumId w:val="1"/>
  </w:num>
  <w:num w:numId="29">
    <w:abstractNumId w:val="6"/>
  </w:num>
  <w:num w:numId="30">
    <w:abstractNumId w:val="24"/>
    <w:lvlOverride w:ilvl="0">
      <w:lvl w:ilvl="0">
        <w:start w:val="1"/>
        <w:numFmt w:val="decimal"/>
        <w:lvlText w:val="%1)"/>
        <w:lvlJc w:val="left"/>
        <w:pPr>
          <w:ind w:left="360" w:hanging="360"/>
        </w:pPr>
      </w:lvl>
    </w:lvlOverride>
    <w:lvlOverride w:ilvl="1">
      <w:lvl w:ilvl="1">
        <w:start w:val="1"/>
        <w:numFmt w:val="bullet"/>
        <w:lvlText w:val=""/>
        <w:lvlJc w:val="left"/>
        <w:pPr>
          <w:ind w:left="720" w:hanging="360"/>
        </w:pPr>
        <w:rPr>
          <w:rFonts w:ascii="Symbol" w:hAnsi="Symbol" w:hint="default"/>
          <w:sz w:val="20"/>
          <w:szCs w:val="20"/>
          <w:vertAlign w:val="superscript"/>
        </w:r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abstractNumId w:val="22"/>
  </w:num>
  <w:num w:numId="32">
    <w:abstractNumId w:val="3"/>
  </w:num>
  <w:num w:numId="33">
    <w:abstractNumId w:val="25"/>
  </w:num>
  <w:num w:numId="34">
    <w:abstractNumId w:val="16"/>
  </w:num>
  <w:num w:numId="35">
    <w:abstractNumId w:val="36"/>
    <w:lvlOverride w:ilvl="1">
      <w:lvl w:ilvl="1">
        <w:start w:val="1"/>
        <w:numFmt w:val="bullet"/>
        <w:lvlText w:val=""/>
        <w:lvlJc w:val="left"/>
        <w:pPr>
          <w:ind w:left="720" w:hanging="360"/>
        </w:pPr>
        <w:rPr>
          <w:rFonts w:ascii="Symbol" w:hAnsi="Symbol" w:hint="default"/>
          <w:sz w:val="20"/>
          <w:szCs w:val="20"/>
          <w:vertAlign w:val="superscript"/>
        </w:rPr>
      </w:lvl>
    </w:lvlOverride>
  </w:num>
  <w:num w:numId="36">
    <w:abstractNumId w:val="20"/>
    <w:lvlOverride w:ilvl="1">
      <w:lvl w:ilvl="1">
        <w:start w:val="1"/>
        <w:numFmt w:val="bullet"/>
        <w:lvlText w:val=""/>
        <w:lvlJc w:val="left"/>
        <w:pPr>
          <w:ind w:left="720" w:hanging="360"/>
        </w:pPr>
        <w:rPr>
          <w:rFonts w:ascii="Symbol" w:hAnsi="Symbol" w:hint="default"/>
          <w:sz w:val="20"/>
          <w:szCs w:val="20"/>
          <w:vertAlign w:val="superscript"/>
        </w:rPr>
      </w:lvl>
    </w:lvlOverride>
  </w:num>
  <w:num w:numId="37">
    <w:abstractNumId w:val="38"/>
  </w:num>
  <w:num w:numId="38">
    <w:abstractNumId w:val="28"/>
  </w:num>
  <w:num w:numId="39">
    <w:abstractNumId w:val="5"/>
    <w:lvlOverride w:ilvl="1">
      <w:lvl w:ilvl="1">
        <w:start w:val="1"/>
        <w:numFmt w:val="bullet"/>
        <w:lvlText w:val=""/>
        <w:lvlJc w:val="left"/>
        <w:pPr>
          <w:ind w:left="720" w:hanging="360"/>
        </w:pPr>
        <w:rPr>
          <w:rFonts w:ascii="Symbol" w:hAnsi="Symbol" w:hint="default"/>
          <w:sz w:val="20"/>
          <w:szCs w:val="20"/>
          <w:vertAlign w:val="superscript"/>
        </w:rPr>
      </w:lvl>
    </w:lvlOverride>
  </w:num>
  <w:num w:numId="40">
    <w:abstractNumId w:val="30"/>
    <w:lvlOverride w:ilvl="1">
      <w:lvl w:ilvl="1">
        <w:start w:val="1"/>
        <w:numFmt w:val="bullet"/>
        <w:lvlText w:val=""/>
        <w:lvlJc w:val="left"/>
        <w:pPr>
          <w:ind w:left="720" w:hanging="360"/>
        </w:pPr>
        <w:rPr>
          <w:rFonts w:ascii="Symbol" w:hAnsi="Symbol" w:hint="default"/>
          <w:sz w:val="20"/>
          <w:szCs w:val="20"/>
          <w:vertAlign w:val="superscript"/>
        </w:rPr>
      </w:lvl>
    </w:lvlOverride>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77"/>
    <w:rsid w:val="000039EE"/>
    <w:rsid w:val="0001280B"/>
    <w:rsid w:val="00072BB1"/>
    <w:rsid w:val="000770A8"/>
    <w:rsid w:val="00092CD3"/>
    <w:rsid w:val="000D3FE9"/>
    <w:rsid w:val="00137996"/>
    <w:rsid w:val="00152777"/>
    <w:rsid w:val="001728F3"/>
    <w:rsid w:val="001925F8"/>
    <w:rsid w:val="001A5E52"/>
    <w:rsid w:val="001B1A5A"/>
    <w:rsid w:val="00201C97"/>
    <w:rsid w:val="002B10FB"/>
    <w:rsid w:val="00306709"/>
    <w:rsid w:val="0031495F"/>
    <w:rsid w:val="00390FF8"/>
    <w:rsid w:val="003A0669"/>
    <w:rsid w:val="003A4731"/>
    <w:rsid w:val="003D1569"/>
    <w:rsid w:val="003D4F76"/>
    <w:rsid w:val="003F3DB1"/>
    <w:rsid w:val="0041142E"/>
    <w:rsid w:val="0042515D"/>
    <w:rsid w:val="00451798"/>
    <w:rsid w:val="004759A0"/>
    <w:rsid w:val="00481A0E"/>
    <w:rsid w:val="004A42F2"/>
    <w:rsid w:val="004C75FD"/>
    <w:rsid w:val="004D1AF9"/>
    <w:rsid w:val="00555C27"/>
    <w:rsid w:val="00565F01"/>
    <w:rsid w:val="00574727"/>
    <w:rsid w:val="00646F89"/>
    <w:rsid w:val="006A2243"/>
    <w:rsid w:val="006E5B6A"/>
    <w:rsid w:val="006F352D"/>
    <w:rsid w:val="00766024"/>
    <w:rsid w:val="00767EDD"/>
    <w:rsid w:val="008001C6"/>
    <w:rsid w:val="00810DC1"/>
    <w:rsid w:val="008605BE"/>
    <w:rsid w:val="00860DBD"/>
    <w:rsid w:val="008656EE"/>
    <w:rsid w:val="008A1EF2"/>
    <w:rsid w:val="008E3FA3"/>
    <w:rsid w:val="00927A1E"/>
    <w:rsid w:val="00935442"/>
    <w:rsid w:val="00936A6E"/>
    <w:rsid w:val="00941005"/>
    <w:rsid w:val="009466AC"/>
    <w:rsid w:val="00963904"/>
    <w:rsid w:val="00970056"/>
    <w:rsid w:val="00973A56"/>
    <w:rsid w:val="00975343"/>
    <w:rsid w:val="009772F2"/>
    <w:rsid w:val="009A4F59"/>
    <w:rsid w:val="00A1264E"/>
    <w:rsid w:val="00A43461"/>
    <w:rsid w:val="00A875EC"/>
    <w:rsid w:val="00B33BB2"/>
    <w:rsid w:val="00B53ABA"/>
    <w:rsid w:val="00B700D2"/>
    <w:rsid w:val="00BB3DE5"/>
    <w:rsid w:val="00C26DB0"/>
    <w:rsid w:val="00C554B0"/>
    <w:rsid w:val="00C72DA9"/>
    <w:rsid w:val="00CB415B"/>
    <w:rsid w:val="00D128C9"/>
    <w:rsid w:val="00D237B8"/>
    <w:rsid w:val="00D3137B"/>
    <w:rsid w:val="00D34403"/>
    <w:rsid w:val="00D37D48"/>
    <w:rsid w:val="00D53732"/>
    <w:rsid w:val="00D857CD"/>
    <w:rsid w:val="00DB20FA"/>
    <w:rsid w:val="00DC2F2A"/>
    <w:rsid w:val="00DD51CA"/>
    <w:rsid w:val="00DD5BAC"/>
    <w:rsid w:val="00DD64A2"/>
    <w:rsid w:val="00E320E5"/>
    <w:rsid w:val="00E473F2"/>
    <w:rsid w:val="00E70858"/>
    <w:rsid w:val="00EA570B"/>
    <w:rsid w:val="00ED23FF"/>
    <w:rsid w:val="00EE7EEC"/>
    <w:rsid w:val="00EF21A6"/>
    <w:rsid w:val="00EF3BE8"/>
    <w:rsid w:val="00F05951"/>
    <w:rsid w:val="00F20C02"/>
    <w:rsid w:val="00F31713"/>
    <w:rsid w:val="00F42040"/>
    <w:rsid w:val="00F46422"/>
    <w:rsid w:val="00F9235F"/>
    <w:rsid w:val="00F93758"/>
    <w:rsid w:val="00F93C9F"/>
    <w:rsid w:val="00F97C89"/>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38D8"/>
  <w15:chartTrackingRefBased/>
  <w15:docId w15:val="{F3DA2D62-F469-4AB0-9FD0-59312DA0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2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77"/>
    <w:rPr>
      <w:rFonts w:eastAsiaTheme="majorEastAsia" w:cstheme="majorBidi"/>
      <w:color w:val="272727" w:themeColor="text1" w:themeTint="D8"/>
    </w:rPr>
  </w:style>
  <w:style w:type="paragraph" w:styleId="Title">
    <w:name w:val="Title"/>
    <w:basedOn w:val="Normal"/>
    <w:next w:val="Normal"/>
    <w:link w:val="TitleChar"/>
    <w:uiPriority w:val="10"/>
    <w:qFormat/>
    <w:rsid w:val="0015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77"/>
    <w:pPr>
      <w:spacing w:before="160"/>
      <w:jc w:val="center"/>
    </w:pPr>
    <w:rPr>
      <w:i/>
      <w:iCs/>
      <w:color w:val="404040" w:themeColor="text1" w:themeTint="BF"/>
    </w:rPr>
  </w:style>
  <w:style w:type="character" w:customStyle="1" w:styleId="QuoteChar">
    <w:name w:val="Quote Char"/>
    <w:basedOn w:val="DefaultParagraphFont"/>
    <w:link w:val="Quote"/>
    <w:uiPriority w:val="29"/>
    <w:rsid w:val="00152777"/>
    <w:rPr>
      <w:i/>
      <w:iCs/>
      <w:color w:val="404040" w:themeColor="text1" w:themeTint="BF"/>
    </w:rPr>
  </w:style>
  <w:style w:type="paragraph" w:styleId="ListParagraph">
    <w:name w:val="List Paragraph"/>
    <w:basedOn w:val="Normal"/>
    <w:uiPriority w:val="34"/>
    <w:qFormat/>
    <w:rsid w:val="00152777"/>
    <w:pPr>
      <w:ind w:left="720"/>
      <w:contextualSpacing/>
    </w:pPr>
  </w:style>
  <w:style w:type="character" w:styleId="IntenseEmphasis">
    <w:name w:val="Intense Emphasis"/>
    <w:basedOn w:val="DefaultParagraphFont"/>
    <w:uiPriority w:val="21"/>
    <w:qFormat/>
    <w:rsid w:val="00152777"/>
    <w:rPr>
      <w:i/>
      <w:iCs/>
      <w:color w:val="2F5496" w:themeColor="accent1" w:themeShade="BF"/>
    </w:rPr>
  </w:style>
  <w:style w:type="paragraph" w:styleId="IntenseQuote">
    <w:name w:val="Intense Quote"/>
    <w:basedOn w:val="Normal"/>
    <w:next w:val="Normal"/>
    <w:link w:val="IntenseQuoteChar"/>
    <w:uiPriority w:val="30"/>
    <w:qFormat/>
    <w:rsid w:val="00152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777"/>
    <w:rPr>
      <w:i/>
      <w:iCs/>
      <w:color w:val="2F5496" w:themeColor="accent1" w:themeShade="BF"/>
    </w:rPr>
  </w:style>
  <w:style w:type="character" w:styleId="IntenseReference">
    <w:name w:val="Intense Reference"/>
    <w:basedOn w:val="DefaultParagraphFont"/>
    <w:uiPriority w:val="32"/>
    <w:qFormat/>
    <w:rsid w:val="00152777"/>
    <w:rPr>
      <w:b/>
      <w:bCs/>
      <w:smallCaps/>
      <w:color w:val="2F5496" w:themeColor="accent1" w:themeShade="BF"/>
      <w:spacing w:val="5"/>
    </w:rPr>
  </w:style>
  <w:style w:type="paragraph" w:styleId="Header">
    <w:name w:val="header"/>
    <w:basedOn w:val="Normal"/>
    <w:link w:val="HeaderChar"/>
    <w:uiPriority w:val="99"/>
    <w:unhideWhenUsed/>
    <w:rsid w:val="0015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777"/>
  </w:style>
  <w:style w:type="paragraph" w:styleId="Footer">
    <w:name w:val="footer"/>
    <w:basedOn w:val="Normal"/>
    <w:link w:val="FooterChar"/>
    <w:uiPriority w:val="99"/>
    <w:unhideWhenUsed/>
    <w:rsid w:val="0015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777"/>
  </w:style>
  <w:style w:type="numbering" w:customStyle="1" w:styleId="Style1">
    <w:name w:val="Style1"/>
    <w:uiPriority w:val="99"/>
    <w:rsid w:val="00D857CD"/>
    <w:pPr>
      <w:numPr>
        <w:numId w:val="2"/>
      </w:numPr>
    </w:pPr>
  </w:style>
  <w:style w:type="numbering" w:customStyle="1" w:styleId="Style2">
    <w:name w:val="Style2"/>
    <w:uiPriority w:val="99"/>
    <w:rsid w:val="00D857CD"/>
    <w:pPr>
      <w:numPr>
        <w:numId w:val="5"/>
      </w:numPr>
    </w:pPr>
  </w:style>
  <w:style w:type="numbering" w:customStyle="1" w:styleId="Style3">
    <w:name w:val="Style3"/>
    <w:uiPriority w:val="99"/>
    <w:rsid w:val="00D857CD"/>
    <w:pPr>
      <w:numPr>
        <w:numId w:val="7"/>
      </w:numPr>
    </w:pPr>
  </w:style>
  <w:style w:type="numbering" w:customStyle="1" w:styleId="Style4">
    <w:name w:val="Style4"/>
    <w:uiPriority w:val="99"/>
    <w:rsid w:val="00D857CD"/>
    <w:pPr>
      <w:numPr>
        <w:numId w:val="9"/>
      </w:numPr>
    </w:pPr>
  </w:style>
  <w:style w:type="numbering" w:customStyle="1" w:styleId="Style5">
    <w:name w:val="Style5"/>
    <w:uiPriority w:val="99"/>
    <w:rsid w:val="00D857CD"/>
    <w:pPr>
      <w:numPr>
        <w:numId w:val="11"/>
      </w:numPr>
    </w:pPr>
  </w:style>
  <w:style w:type="table" w:styleId="TableGrid">
    <w:name w:val="Table Grid"/>
    <w:basedOn w:val="TableNormal"/>
    <w:uiPriority w:val="39"/>
    <w:rsid w:val="0086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A43461"/>
    <w:pPr>
      <w:numPr>
        <w:numId w:val="29"/>
      </w:numPr>
    </w:pPr>
  </w:style>
  <w:style w:type="numbering" w:customStyle="1" w:styleId="Style7">
    <w:name w:val="Style7"/>
    <w:uiPriority w:val="99"/>
    <w:rsid w:val="003D4F76"/>
    <w:pPr>
      <w:numPr>
        <w:numId w:val="34"/>
      </w:numPr>
    </w:pPr>
  </w:style>
  <w:style w:type="numbering" w:customStyle="1" w:styleId="Style8">
    <w:name w:val="Style8"/>
    <w:uiPriority w:val="99"/>
    <w:rsid w:val="00A1264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Anh Hoang</dc:creator>
  <cp:keywords/>
  <dc:description/>
  <cp:lastModifiedBy>Microsoft account</cp:lastModifiedBy>
  <cp:revision>55</cp:revision>
  <dcterms:created xsi:type="dcterms:W3CDTF">2025-09-27T02:05:00Z</dcterms:created>
  <dcterms:modified xsi:type="dcterms:W3CDTF">2025-11-25T03:11:00Z</dcterms:modified>
</cp:coreProperties>
</file>